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0035977B" w:rsidR="001B7CA2" w:rsidRPr="0002213A" w:rsidRDefault="00357876" w:rsidP="00B669A0">
      <w:pPr>
        <w:pBdr>
          <w:bottom w:val="single" w:sz="4" w:space="1" w:color="auto"/>
        </w:pBdr>
        <w:rPr>
          <w:b/>
          <w:bCs/>
          <w:lang w:val="en-GB"/>
        </w:rPr>
      </w:pPr>
      <w:r>
        <w:rPr>
          <w:b/>
          <w:lang w:val="en-AU"/>
        </w:rPr>
        <w:t>SPAIN</w:t>
      </w:r>
      <w:r w:rsidR="005B2F94">
        <w:rPr>
          <w:b/>
          <w:lang w:val="en-AU"/>
        </w:rPr>
        <w:t xml:space="preserve">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2CA63618" w14:textId="075FB162" w:rsidR="00694C36" w:rsidRPr="00F57A58" w:rsidRDefault="001B7CA2" w:rsidP="00F57A58">
      <w:pPr>
        <w:rPr>
          <w:lang w:val="en-GB"/>
        </w:rPr>
      </w:pPr>
      <w:r w:rsidRPr="001B7CA2">
        <w:rPr>
          <w:b/>
          <w:bCs/>
          <w:i/>
          <w:iCs/>
          <w:lang w:val="en-GB"/>
        </w:rPr>
        <w:t xml:space="preserve">A. Independence </w:t>
      </w:r>
    </w:p>
    <w:p w14:paraId="2E67A952" w14:textId="5BFD5CB0" w:rsidR="001B7CA2" w:rsidRDefault="001B7CA2" w:rsidP="00694C36">
      <w:pPr>
        <w:spacing w:after="0" w:line="240" w:lineRule="auto"/>
        <w:rPr>
          <w:i/>
          <w:iCs/>
          <w:lang w:val="en-GB"/>
        </w:rPr>
      </w:pPr>
      <w:r w:rsidRPr="001B7CA2">
        <w:rPr>
          <w:i/>
          <w:iCs/>
          <w:lang w:val="en-GB"/>
        </w:rPr>
        <w:t xml:space="preserve">6. Accountability of judges and prosecutors, including disciplinary regime and bodies and ethical rules, judicial immunity and criminal liability of judges. </w:t>
      </w:r>
    </w:p>
    <w:p w14:paraId="21D9AF38" w14:textId="241C0B83" w:rsidR="00B16D15" w:rsidRDefault="00B16D15" w:rsidP="00694C36">
      <w:pPr>
        <w:spacing w:after="0" w:line="240" w:lineRule="auto"/>
        <w:rPr>
          <w:i/>
          <w:iCs/>
          <w:lang w:val="en-GB"/>
        </w:rPr>
      </w:pPr>
    </w:p>
    <w:p w14:paraId="2A6751C1" w14:textId="42479B05" w:rsidR="00B16D15" w:rsidRPr="00B16D15" w:rsidRDefault="00B16D15" w:rsidP="00B16D15">
      <w:pPr>
        <w:spacing w:after="0" w:line="240" w:lineRule="auto"/>
        <w:jc w:val="both"/>
        <w:rPr>
          <w:bCs/>
          <w:iCs/>
          <w:lang w:val="en-GB"/>
        </w:rPr>
      </w:pPr>
      <w:r w:rsidRPr="00B16D15">
        <w:rPr>
          <w:bCs/>
          <w:iCs/>
          <w:lang w:val="en-GB"/>
        </w:rPr>
        <w:t xml:space="preserve">In  individual communication No. </w:t>
      </w:r>
      <w:r>
        <w:rPr>
          <w:bCs/>
          <w:iCs/>
          <w:lang w:val="en-GB"/>
        </w:rPr>
        <w:t xml:space="preserve">2844 </w:t>
      </w:r>
      <w:r w:rsidRPr="00B16D15">
        <w:rPr>
          <w:bCs/>
          <w:iCs/>
          <w:lang w:val="en-GB"/>
        </w:rPr>
        <w:t xml:space="preserve">under </w:t>
      </w:r>
      <w:r w:rsidR="004D374D">
        <w:rPr>
          <w:bCs/>
          <w:iCs/>
          <w:lang w:val="en-GB"/>
        </w:rPr>
        <w:t xml:space="preserve">the </w:t>
      </w:r>
      <w:r w:rsidRPr="00B16D15">
        <w:rPr>
          <w:bCs/>
          <w:iCs/>
          <w:lang w:val="en-GB"/>
        </w:rPr>
        <w:t xml:space="preserve">Optional Protocol to the Covenant on Civil and Political Rights, Mr. Garzón alleged that he was a victim of multiple violations of his human rights during two trials. He was criminally prosecuted in 2012 for his alleged wilful abuse of power in two cases of major political significance at the national level. In the </w:t>
      </w:r>
      <w:r w:rsidRPr="00605A93">
        <w:rPr>
          <w:bCs/>
          <w:i/>
          <w:iCs/>
          <w:lang w:val="en-GB"/>
        </w:rPr>
        <w:t>Franco</w:t>
      </w:r>
      <w:r w:rsidRPr="00B16D15">
        <w:rPr>
          <w:bCs/>
          <w:iCs/>
          <w:lang w:val="en-GB"/>
        </w:rPr>
        <w:t xml:space="preserve"> case, he assumed jurisdiction to investigate enforced disappearances during the Civil War and the dictatorship of General Francisco Franco. In the </w:t>
      </w:r>
      <w:r w:rsidRPr="00B16D15">
        <w:rPr>
          <w:bCs/>
          <w:i/>
          <w:iCs/>
          <w:lang w:val="en-GB"/>
        </w:rPr>
        <w:t>Gürtel</w:t>
      </w:r>
      <w:r w:rsidRPr="00B16D15">
        <w:rPr>
          <w:bCs/>
          <w:iCs/>
          <w:lang w:val="en-GB"/>
        </w:rPr>
        <w:t xml:space="preserve"> case, he decided to monitor communications between defendants and their representatives to prevent the commission of crimes. Garzón was acquitted in the Franco case, but was convicted of wilful abuse of power in the </w:t>
      </w:r>
      <w:r w:rsidRPr="00B16D15">
        <w:rPr>
          <w:bCs/>
          <w:i/>
          <w:iCs/>
          <w:lang w:val="en-GB"/>
        </w:rPr>
        <w:t>Gürtel</w:t>
      </w:r>
      <w:r w:rsidRPr="00B16D15">
        <w:rPr>
          <w:bCs/>
          <w:iCs/>
          <w:lang w:val="en-GB"/>
        </w:rPr>
        <w:t xml:space="preserve"> case and barred from office for 11 years. The UN Human Rights Committee concluded in a </w:t>
      </w:r>
      <w:r w:rsidRPr="009C5F8D">
        <w:rPr>
          <w:bCs/>
          <w:iCs/>
          <w:lang w:val="en-GB"/>
        </w:rPr>
        <w:t>decision</w:t>
      </w:r>
      <w:r w:rsidR="00931475">
        <w:rPr>
          <w:bCs/>
          <w:iCs/>
          <w:lang w:val="en-GB"/>
        </w:rPr>
        <w:t xml:space="preserve"> of </w:t>
      </w:r>
      <w:r w:rsidRPr="00B16D15">
        <w:rPr>
          <w:bCs/>
          <w:iCs/>
          <w:lang w:val="en-GB"/>
        </w:rPr>
        <w:t>August 2021 that the trials o</w:t>
      </w:r>
      <w:r w:rsidR="00931475">
        <w:rPr>
          <w:bCs/>
          <w:iCs/>
          <w:lang w:val="en-GB"/>
        </w:rPr>
        <w:t xml:space="preserve">f former Spanish judge </w:t>
      </w:r>
      <w:r w:rsidRPr="00B16D15">
        <w:rPr>
          <w:bCs/>
          <w:iCs/>
          <w:lang w:val="en-GB"/>
        </w:rPr>
        <w:t xml:space="preserve">Garzón in the </w:t>
      </w:r>
      <w:r w:rsidRPr="00B16D15">
        <w:rPr>
          <w:bCs/>
          <w:i/>
          <w:iCs/>
          <w:lang w:val="en-GB"/>
        </w:rPr>
        <w:t>Franco and Gürtel</w:t>
      </w:r>
      <w:r w:rsidRPr="00B16D15">
        <w:rPr>
          <w:bCs/>
          <w:iCs/>
          <w:lang w:val="en-GB"/>
        </w:rPr>
        <w:t xml:space="preserve"> cases were arbitrary and did not comply with the principles of judicial independence and impartiality. In the </w:t>
      </w:r>
      <w:r w:rsidRPr="00B16D15">
        <w:rPr>
          <w:bCs/>
          <w:i/>
          <w:iCs/>
          <w:lang w:val="en-GB"/>
        </w:rPr>
        <w:t>Franco</w:t>
      </w:r>
      <w:r w:rsidR="009C5F8D">
        <w:rPr>
          <w:bCs/>
          <w:iCs/>
          <w:lang w:val="en-GB"/>
        </w:rPr>
        <w:t xml:space="preserve"> proceeding, the Committee</w:t>
      </w:r>
      <w:r w:rsidRPr="00B16D15">
        <w:rPr>
          <w:bCs/>
          <w:iCs/>
          <w:lang w:val="en-GB"/>
        </w:rPr>
        <w:t xml:space="preserve"> specified that the decisions of the [former judge] “were at least a plausible legal interpretation, the appropriateness of which was reviewed on appeal, without it being concluded that such decisions constituted misconduct or incompetence that could justify his inability to perform his duties”. Regarding the </w:t>
      </w:r>
      <w:r w:rsidRPr="00B16D15">
        <w:rPr>
          <w:bCs/>
          <w:i/>
          <w:iCs/>
          <w:lang w:val="en-GB"/>
        </w:rPr>
        <w:t>Gürtel</w:t>
      </w:r>
      <w:r w:rsidRPr="00B16D15">
        <w:rPr>
          <w:bCs/>
          <w:iCs/>
          <w:lang w:val="en-GB"/>
        </w:rPr>
        <w:t xml:space="preserve"> case, the Committee considered that “the interpretation of [Garzón], which was shared by other judges and the Public Prosecutor, </w:t>
      </w:r>
      <w:r w:rsidR="00605A93">
        <w:rPr>
          <w:bCs/>
          <w:iCs/>
          <w:lang w:val="en-GB"/>
        </w:rPr>
        <w:t>even if, as claimed by Spain,</w:t>
      </w:r>
      <w:r w:rsidRPr="00B16D15">
        <w:rPr>
          <w:bCs/>
          <w:iCs/>
          <w:lang w:val="en-GB"/>
        </w:rPr>
        <w:t xml:space="preserve"> it was erroneous, did not constitute serious misconduct or incompetence that could justify his criminal conviction”. The Committee emphasized that, even if Garzón had committed a judicial error, this should have been corrected by a review before a higher court and not through  criminal</w:t>
      </w:r>
      <w:r w:rsidR="00931475">
        <w:rPr>
          <w:bCs/>
          <w:iCs/>
          <w:lang w:val="en-GB"/>
        </w:rPr>
        <w:t xml:space="preserve"> prosecution</w:t>
      </w:r>
      <w:r w:rsidRPr="00B16D15">
        <w:rPr>
          <w:bCs/>
          <w:iCs/>
          <w:lang w:val="en-GB"/>
        </w:rPr>
        <w:t>. The Committee also concluded that Garzón’s right to be tried by an impartial tribunal was violated, and recalled that some of the Supreme Court judges who tried him intervened in both cases, despite Garzón's request that they be recuse</w:t>
      </w:r>
      <w:r w:rsidR="00605A93">
        <w:rPr>
          <w:bCs/>
          <w:iCs/>
          <w:lang w:val="en-GB"/>
        </w:rPr>
        <w:t xml:space="preserve">d. </w:t>
      </w:r>
      <w:r w:rsidRPr="00B16D15">
        <w:rPr>
          <w:bCs/>
          <w:iCs/>
          <w:lang w:val="en-GB"/>
        </w:rPr>
        <w:t xml:space="preserve">The Committee also criticised the fact that Garzón did not have access to a second instance to appeal, given that he was tried on the first and only instance by the Supreme Court, Spain's highest judicial body. In the specific case of </w:t>
      </w:r>
      <w:r w:rsidRPr="00B16D15">
        <w:rPr>
          <w:bCs/>
          <w:i/>
          <w:iCs/>
          <w:lang w:val="en-GB"/>
        </w:rPr>
        <w:t>Gürtel</w:t>
      </w:r>
      <w:r w:rsidRPr="00B16D15">
        <w:rPr>
          <w:bCs/>
          <w:iCs/>
          <w:lang w:val="en-GB"/>
        </w:rPr>
        <w:t xml:space="preserve">, the Committee underlined that the conviction for wilful abuse of power against Garzón was "arbitrary and unforeseeable" as it was not based on sufficiently explicit, clear and precise legal provisions. Article 15 of the Covenant establishes the principle of legality and predictability, i.e. that no one can be convicted for acts that were not sufficiently explicitly foreseen at the time they were committed. </w:t>
      </w:r>
      <w:r w:rsidR="00931475">
        <w:rPr>
          <w:b/>
          <w:bCs/>
          <w:iCs/>
          <w:u w:val="single"/>
          <w:lang w:val="en-GB"/>
        </w:rPr>
        <w:t xml:space="preserve">This was </w:t>
      </w:r>
      <w:r w:rsidRPr="00B16D15">
        <w:rPr>
          <w:b/>
          <w:bCs/>
          <w:iCs/>
          <w:u w:val="single"/>
          <w:lang w:val="en-GB"/>
        </w:rPr>
        <w:t>the first time that the Committee has ruled and condemned a State for the use of criminal law against a judge in the course of his or her duties, thus establishing new jurisprudence</w:t>
      </w:r>
      <w:r w:rsidRPr="00B16D15">
        <w:rPr>
          <w:bCs/>
          <w:iCs/>
          <w:lang w:val="en-GB"/>
        </w:rPr>
        <w:t xml:space="preserve"> (</w:t>
      </w:r>
      <w:hyperlink r:id="rId8" w:history="1">
        <w:r w:rsidRPr="00B16D15">
          <w:rPr>
            <w:rStyle w:val="Hyperlink"/>
            <w:bCs/>
            <w:iCs/>
            <w:lang w:val="en-GB"/>
          </w:rPr>
          <w:t>CCPR/C/132/D/2844/2016</w:t>
        </w:r>
      </w:hyperlink>
      <w:r w:rsidRPr="00B16D15">
        <w:rPr>
          <w:bCs/>
          <w:iCs/>
          <w:lang w:val="en-GB"/>
        </w:rPr>
        <w:t xml:space="preserve"> and </w:t>
      </w:r>
      <w:hyperlink r:id="rId9" w:anchor=":~:text=GENEVA%20(26%20August%202021)%20%E2%80%94,decision%20to%20be%20released%20today)" w:history="1">
        <w:r w:rsidRPr="00B16D15">
          <w:rPr>
            <w:rStyle w:val="Hyperlink"/>
            <w:bCs/>
            <w:iCs/>
            <w:lang w:val="en-GB"/>
          </w:rPr>
          <w:t>https://www.ohchr.org/en/NewsEvents/Pages/DisplayNews.aspx?NewsID=27410&amp;LangID=E#:~:text=GENEVA%20(26%20August%202021)%20%E2%80%94,decision%20to%20be%20released%20today)</w:t>
        </w:r>
      </w:hyperlink>
    </w:p>
    <w:p w14:paraId="71CFA76C" w14:textId="05085E2D" w:rsidR="00694C36" w:rsidRDefault="00694C36" w:rsidP="001B7CA2">
      <w:pPr>
        <w:rPr>
          <w:i/>
          <w:iCs/>
          <w:lang w:val="en-GB"/>
        </w:rPr>
      </w:pP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7154EFA9"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627B1669" w14:textId="0519886E" w:rsidR="00180CF1" w:rsidRDefault="00180CF1" w:rsidP="00180CF1">
      <w:pPr>
        <w:spacing w:line="240" w:lineRule="auto"/>
        <w:jc w:val="both"/>
        <w:rPr>
          <w:bCs/>
          <w:iCs/>
          <w:lang w:val="en-US"/>
        </w:rPr>
      </w:pPr>
      <w:r w:rsidRPr="00180CF1">
        <w:rPr>
          <w:bCs/>
          <w:iCs/>
          <w:lang w:val="en-GB"/>
        </w:rPr>
        <w:t>In its 2021 concluding observations, the Committee on Enforced Disappearances</w:t>
      </w:r>
      <w:r w:rsidRPr="00180CF1">
        <w:rPr>
          <w:b/>
          <w:bCs/>
          <w:iCs/>
          <w:lang w:val="en-GB"/>
        </w:rPr>
        <w:t xml:space="preserve"> </w:t>
      </w:r>
      <w:r>
        <w:rPr>
          <w:iCs/>
          <w:lang w:val="en-GB"/>
        </w:rPr>
        <w:t>took</w:t>
      </w:r>
      <w:r w:rsidRPr="00180CF1">
        <w:rPr>
          <w:iCs/>
          <w:lang w:val="en-GB"/>
        </w:rPr>
        <w:t xml:space="preserve"> note of the reform of the solitary confinement regime that took place in 2015 and of the fact that the restriction of rights is optional and subject to court order and strict oversight under the new regime. However, </w:t>
      </w:r>
      <w:r>
        <w:rPr>
          <w:iCs/>
          <w:lang w:val="en-GB"/>
        </w:rPr>
        <w:lastRenderedPageBreak/>
        <w:t>the Committee was</w:t>
      </w:r>
      <w:r w:rsidRPr="00180CF1">
        <w:rPr>
          <w:iCs/>
          <w:lang w:val="en-GB"/>
        </w:rPr>
        <w:t xml:space="preserve"> concerned that, under this regime, the rights of a person to appoint a lawyer of his or her choice, to meet with a lawyer in private and to communicate with all or some of the persons with whom he or she is entitled to communicate, may be restricted for up to five days, a period which may be extended for a further five days in cases of terrorism and organized crime. </w:t>
      </w:r>
      <w:r w:rsidR="00931475">
        <w:rPr>
          <w:iCs/>
          <w:lang w:val="en-GB"/>
        </w:rPr>
        <w:t>T</w:t>
      </w:r>
      <w:r>
        <w:rPr>
          <w:iCs/>
          <w:lang w:val="en-GB"/>
        </w:rPr>
        <w:t xml:space="preserve">he Committee </w:t>
      </w:r>
      <w:r w:rsidR="00931475">
        <w:rPr>
          <w:iCs/>
          <w:lang w:val="en-GB"/>
        </w:rPr>
        <w:t xml:space="preserve">also </w:t>
      </w:r>
      <w:r>
        <w:rPr>
          <w:iCs/>
          <w:lang w:val="en-GB"/>
        </w:rPr>
        <w:t>noted</w:t>
      </w:r>
      <w:r w:rsidRPr="00180CF1">
        <w:rPr>
          <w:iCs/>
          <w:lang w:val="en-GB"/>
        </w:rPr>
        <w:t xml:space="preserve"> that, according to the information provided during the dialogue</w:t>
      </w:r>
      <w:r w:rsidR="00931475">
        <w:rPr>
          <w:iCs/>
          <w:lang w:val="en-GB"/>
        </w:rPr>
        <w:t xml:space="preserve"> with Spain, there were</w:t>
      </w:r>
      <w:r w:rsidRPr="00180CF1">
        <w:rPr>
          <w:iCs/>
          <w:lang w:val="en-GB"/>
        </w:rPr>
        <w:t xml:space="preserve"> plans to amend the Criminal Procedure Act, so that, inter alia, communication with o</w:t>
      </w:r>
      <w:r w:rsidR="00931475">
        <w:rPr>
          <w:iCs/>
          <w:lang w:val="en-GB"/>
        </w:rPr>
        <w:t>ne’s court-appointed lawyer would</w:t>
      </w:r>
      <w:r w:rsidRPr="00180CF1">
        <w:rPr>
          <w:iCs/>
          <w:lang w:val="en-GB"/>
        </w:rPr>
        <w:t xml:space="preserve"> no longer be rest</w:t>
      </w:r>
      <w:r>
        <w:rPr>
          <w:iCs/>
          <w:lang w:val="en-GB"/>
        </w:rPr>
        <w:t>ricted. It also noted</w:t>
      </w:r>
      <w:r w:rsidRPr="00180CF1">
        <w:rPr>
          <w:iCs/>
          <w:lang w:val="en-GB"/>
        </w:rPr>
        <w:t xml:space="preserve"> with interest that article 520 (2) (e) of t</w:t>
      </w:r>
      <w:r w:rsidR="006C7519">
        <w:rPr>
          <w:iCs/>
          <w:lang w:val="en-GB"/>
        </w:rPr>
        <w:t>he Criminal Procedure Act stated that there might</w:t>
      </w:r>
      <w:r w:rsidRPr="00180CF1">
        <w:rPr>
          <w:iCs/>
          <w:lang w:val="en-GB"/>
        </w:rPr>
        <w:t xml:space="preserve"> be no restriction on the right of relatives of detained persons to be promptly informed of their deprivation of liberty and their current place of detention. </w:t>
      </w:r>
      <w:r>
        <w:rPr>
          <w:iCs/>
          <w:lang w:val="en-GB"/>
        </w:rPr>
        <w:t xml:space="preserve">Nevertheless, it </w:t>
      </w:r>
      <w:r w:rsidR="009C5F8D">
        <w:rPr>
          <w:iCs/>
          <w:lang w:val="en-GB"/>
        </w:rPr>
        <w:t>regretted</w:t>
      </w:r>
      <w:r w:rsidRPr="00180CF1">
        <w:rPr>
          <w:iCs/>
          <w:lang w:val="en-GB"/>
        </w:rPr>
        <w:t xml:space="preserve"> the lack of clarity as to how the right of relatives or any other person with a legitimate interest, aside from the representative of the Public Prosecution Service and the detainee’s lawyer, to obtain information about the deprivation of liberty and place of detention of per</w:t>
      </w:r>
      <w:r w:rsidR="006C7519">
        <w:rPr>
          <w:iCs/>
          <w:lang w:val="en-GB"/>
        </w:rPr>
        <w:t>sons being held incommunicado was</w:t>
      </w:r>
      <w:r w:rsidRPr="00180CF1">
        <w:rPr>
          <w:iCs/>
          <w:lang w:val="en-GB"/>
        </w:rPr>
        <w:t xml:space="preserve"> guar</w:t>
      </w:r>
      <w:r w:rsidR="00605A93">
        <w:rPr>
          <w:iCs/>
          <w:lang w:val="en-GB"/>
        </w:rPr>
        <w:t>anteed in practice</w:t>
      </w:r>
      <w:r w:rsidRPr="00180CF1">
        <w:rPr>
          <w:iCs/>
          <w:lang w:val="en-GB"/>
        </w:rPr>
        <w:t>.</w:t>
      </w:r>
      <w:r>
        <w:rPr>
          <w:iCs/>
          <w:lang w:val="en-GB"/>
        </w:rPr>
        <w:t xml:space="preserve"> </w:t>
      </w:r>
      <w:r>
        <w:rPr>
          <w:bCs/>
          <w:iCs/>
          <w:lang w:val="en-GB"/>
        </w:rPr>
        <w:t>The Committee recommended</w:t>
      </w:r>
      <w:r w:rsidRPr="00180CF1">
        <w:rPr>
          <w:bCs/>
          <w:iCs/>
          <w:lang w:val="en-GB"/>
        </w:rPr>
        <w:t xml:space="preserve"> that </w:t>
      </w:r>
      <w:r>
        <w:rPr>
          <w:bCs/>
          <w:iCs/>
          <w:lang w:val="en-GB"/>
        </w:rPr>
        <w:t xml:space="preserve">Spain </w:t>
      </w:r>
      <w:r w:rsidRPr="00180CF1">
        <w:rPr>
          <w:bCs/>
          <w:iCs/>
          <w:lang w:val="en-GB"/>
        </w:rPr>
        <w:t xml:space="preserve">take the steps necessary to ensure that, from the outset and throughout the period </w:t>
      </w:r>
      <w:r w:rsidR="009C5F8D">
        <w:rPr>
          <w:bCs/>
          <w:iCs/>
          <w:lang w:val="en-GB"/>
        </w:rPr>
        <w:t>of incommunicado detention</w:t>
      </w:r>
      <w:r w:rsidR="0010207F">
        <w:rPr>
          <w:bCs/>
          <w:iCs/>
          <w:lang w:val="en-GB"/>
        </w:rPr>
        <w:t>,</w:t>
      </w:r>
      <w:r w:rsidR="009C5F8D">
        <w:rPr>
          <w:bCs/>
          <w:iCs/>
          <w:lang w:val="en-GB"/>
        </w:rPr>
        <w:t xml:space="preserve"> </w:t>
      </w:r>
      <w:r w:rsidRPr="00180CF1">
        <w:rPr>
          <w:bCs/>
          <w:iCs/>
          <w:lang w:val="en-GB"/>
        </w:rPr>
        <w:t>persons held incommunicado enjoy the safeguards provided for in article 17 (2) (d) of the Convention</w:t>
      </w:r>
      <w:r>
        <w:rPr>
          <w:rFonts w:ascii="Times New Roman" w:eastAsia="Times New Roman" w:hAnsi="Times New Roman" w:cs="Times New Roman"/>
          <w:b/>
          <w:sz w:val="34"/>
          <w:szCs w:val="40"/>
          <w:lang w:val="en-GB"/>
        </w:rPr>
        <w:t xml:space="preserve"> </w:t>
      </w:r>
      <w:r w:rsidRPr="00180CF1">
        <w:rPr>
          <w:bCs/>
          <w:iCs/>
          <w:lang w:val="en-GB"/>
        </w:rPr>
        <w:t>for</w:t>
      </w:r>
      <w:r w:rsidR="006C7519">
        <w:rPr>
          <w:bCs/>
          <w:iCs/>
          <w:lang w:val="en-GB"/>
        </w:rPr>
        <w:t xml:space="preserve"> the Protection of All Persons </w:t>
      </w:r>
      <w:r w:rsidRPr="00180CF1">
        <w:rPr>
          <w:bCs/>
          <w:iCs/>
          <w:lang w:val="en-GB"/>
        </w:rPr>
        <w:t>from Enforced Disappearance and other relevant int</w:t>
      </w:r>
      <w:r w:rsidR="009C5F8D">
        <w:rPr>
          <w:bCs/>
          <w:iCs/>
          <w:lang w:val="en-GB"/>
        </w:rPr>
        <w:t xml:space="preserve">ernational instruments; and </w:t>
      </w:r>
      <w:r w:rsidRPr="00180CF1">
        <w:rPr>
          <w:bCs/>
          <w:iCs/>
          <w:lang w:val="en-GB"/>
        </w:rPr>
        <w:t>any person with a legitimate interest may exercise, in practice, the righ</w:t>
      </w:r>
      <w:r>
        <w:rPr>
          <w:bCs/>
          <w:iCs/>
          <w:lang w:val="en-GB"/>
        </w:rPr>
        <w:t>t enshrined in article 18 of this</w:t>
      </w:r>
      <w:r w:rsidRPr="00180CF1">
        <w:rPr>
          <w:bCs/>
          <w:iCs/>
          <w:lang w:val="en-GB"/>
        </w:rPr>
        <w:t xml:space="preserve"> Convention. </w:t>
      </w:r>
      <w:r w:rsidR="006C7519">
        <w:rPr>
          <w:bCs/>
          <w:iCs/>
          <w:lang w:val="en-GB"/>
        </w:rPr>
        <w:t xml:space="preserve">The Committee also echoed </w:t>
      </w:r>
      <w:r w:rsidRPr="00180CF1">
        <w:rPr>
          <w:bCs/>
          <w:iCs/>
          <w:lang w:val="en-GB"/>
        </w:rPr>
        <w:t>recommendations made by other human rights mech</w:t>
      </w:r>
      <w:r w:rsidR="009C5F8D">
        <w:rPr>
          <w:bCs/>
          <w:iCs/>
          <w:lang w:val="en-GB"/>
        </w:rPr>
        <w:t>an</w:t>
      </w:r>
      <w:r w:rsidR="006C7519">
        <w:rPr>
          <w:bCs/>
          <w:iCs/>
          <w:lang w:val="en-GB"/>
        </w:rPr>
        <w:t xml:space="preserve">isms by encouraging </w:t>
      </w:r>
      <w:r>
        <w:rPr>
          <w:bCs/>
          <w:iCs/>
          <w:lang w:val="en-GB"/>
        </w:rPr>
        <w:t xml:space="preserve">Spain </w:t>
      </w:r>
      <w:r w:rsidRPr="00180CF1">
        <w:rPr>
          <w:bCs/>
          <w:iCs/>
          <w:lang w:val="en-GB"/>
        </w:rPr>
        <w:t>to avail itself of the opportunity offered by the draft amendment of the Criminal Procedure Act to abolish the existing solitary confinement regime</w:t>
      </w:r>
      <w:r>
        <w:rPr>
          <w:bCs/>
          <w:iCs/>
          <w:lang w:val="en-GB"/>
        </w:rPr>
        <w:t xml:space="preserve"> </w:t>
      </w:r>
      <w:r w:rsidRPr="00180CF1">
        <w:rPr>
          <w:bCs/>
          <w:iCs/>
          <w:lang w:val="en-GB"/>
        </w:rPr>
        <w:t>(</w:t>
      </w:r>
      <w:hyperlink r:id="rId10" w:history="1">
        <w:r w:rsidRPr="00180CF1">
          <w:rPr>
            <w:rStyle w:val="Hyperlink"/>
            <w:bCs/>
            <w:iCs/>
            <w:lang w:val="en-US"/>
          </w:rPr>
          <w:t>CED/C/ESP/OAI/1</w:t>
        </w:r>
      </w:hyperlink>
      <w:r w:rsidRPr="00180CF1">
        <w:rPr>
          <w:bCs/>
          <w:iCs/>
          <w:lang w:val="en-US"/>
        </w:rPr>
        <w:t>, para</w:t>
      </w:r>
      <w:r w:rsidR="006C7519">
        <w:rPr>
          <w:bCs/>
          <w:iCs/>
          <w:lang w:val="en-US"/>
        </w:rPr>
        <w:t>s</w:t>
      </w:r>
      <w:r w:rsidR="00931475">
        <w:rPr>
          <w:bCs/>
          <w:iCs/>
          <w:lang w:val="en-US"/>
        </w:rPr>
        <w:t>.</w:t>
      </w:r>
      <w:r w:rsidRPr="00180CF1">
        <w:rPr>
          <w:bCs/>
          <w:iCs/>
          <w:lang w:val="en-US"/>
        </w:rPr>
        <w:t xml:space="preserve"> </w:t>
      </w:r>
      <w:r>
        <w:rPr>
          <w:bCs/>
          <w:iCs/>
          <w:lang w:val="en-US"/>
        </w:rPr>
        <w:t>32, 33</w:t>
      </w:r>
      <w:r w:rsidRPr="00180CF1">
        <w:rPr>
          <w:bCs/>
          <w:iCs/>
          <w:lang w:val="en-US"/>
        </w:rPr>
        <w:t>).</w:t>
      </w:r>
    </w:p>
    <w:p w14:paraId="4E2896D5" w14:textId="232D907C" w:rsidR="00B16D15" w:rsidRDefault="00B16D15" w:rsidP="00180CF1">
      <w:pPr>
        <w:spacing w:line="240" w:lineRule="auto"/>
        <w:jc w:val="both"/>
        <w:rPr>
          <w:bCs/>
          <w:iCs/>
          <w:lang w:val="en-US"/>
        </w:rPr>
      </w:pPr>
    </w:p>
    <w:p w14:paraId="260CA6E9" w14:textId="74B47D04" w:rsidR="00B16D15" w:rsidRDefault="009C5F8D" w:rsidP="00180CF1">
      <w:pPr>
        <w:spacing w:line="240" w:lineRule="auto"/>
        <w:jc w:val="both"/>
        <w:rPr>
          <w:bCs/>
          <w:iCs/>
          <w:lang w:val="en-US"/>
        </w:rPr>
      </w:pPr>
      <w:r>
        <w:rPr>
          <w:bCs/>
          <w:iCs/>
          <w:lang w:val="en-US"/>
        </w:rPr>
        <w:t xml:space="preserve">In </w:t>
      </w:r>
      <w:r w:rsidR="00B16D15" w:rsidRPr="00B16D15">
        <w:rPr>
          <w:bCs/>
          <w:iCs/>
          <w:lang w:val="en-US"/>
        </w:rPr>
        <w:t>individual communicatio</w:t>
      </w:r>
      <w:r w:rsidR="004D374D">
        <w:rPr>
          <w:bCs/>
          <w:iCs/>
          <w:lang w:val="en-US"/>
        </w:rPr>
        <w:t xml:space="preserve">n No. 2996/2017 under the </w:t>
      </w:r>
      <w:r w:rsidR="00B16D15" w:rsidRPr="00B16D15">
        <w:rPr>
          <w:bCs/>
          <w:iCs/>
          <w:lang w:val="en-US"/>
        </w:rPr>
        <w:t>Optional Protocol to the Covenant on Civil and Political Rights, the author alleged a violation of his right to have his sentence reviewed by a higher tribunal under article 14 (5) of the Covenant, since there was no effective mechanism that would have enabled him to appeal the conviction of 30 April 2012 handed down by the First Division of the Provincial Court of Madrid or to request that his conviction and sentence be reviewed by a higher tribunal. The author also argued that this decision was not subject to appeal and that, in the cir</w:t>
      </w:r>
      <w:r w:rsidR="00E6442C">
        <w:rPr>
          <w:bCs/>
          <w:iCs/>
          <w:lang w:val="en-US"/>
        </w:rPr>
        <w:t>cumstances of his case, there was</w:t>
      </w:r>
      <w:r w:rsidR="00B16D15" w:rsidRPr="00B16D15">
        <w:rPr>
          <w:bCs/>
          <w:iCs/>
          <w:lang w:val="en-US"/>
        </w:rPr>
        <w:t xml:space="preserve"> no effective remedy available in Spain by which to request a review of a conviction brought by a higher court. He argued that exceptional applications for the </w:t>
      </w:r>
      <w:r w:rsidR="006C7519">
        <w:rPr>
          <w:bCs/>
          <w:iCs/>
          <w:lang w:val="en-US"/>
        </w:rPr>
        <w:t>annulment of the proceedings were</w:t>
      </w:r>
      <w:r w:rsidR="00B16D15" w:rsidRPr="00B16D15">
        <w:rPr>
          <w:bCs/>
          <w:iCs/>
          <w:lang w:val="en-US"/>
        </w:rPr>
        <w:t xml:space="preserve"> of limited e</w:t>
      </w:r>
      <w:r w:rsidR="00E6442C">
        <w:rPr>
          <w:bCs/>
          <w:iCs/>
          <w:lang w:val="en-US"/>
        </w:rPr>
        <w:t>ffectiveness. T</w:t>
      </w:r>
      <w:r w:rsidR="00B16D15" w:rsidRPr="00B16D15">
        <w:rPr>
          <w:bCs/>
          <w:iCs/>
          <w:lang w:val="en-US"/>
        </w:rPr>
        <w:t xml:space="preserve">he Human Rights Committee in its decision </w:t>
      </w:r>
      <w:r w:rsidR="006C7519">
        <w:rPr>
          <w:bCs/>
          <w:iCs/>
          <w:lang w:val="en-US"/>
        </w:rPr>
        <w:t xml:space="preserve">of </w:t>
      </w:r>
      <w:r w:rsidR="00B16D15" w:rsidRPr="00B16D15">
        <w:rPr>
          <w:bCs/>
          <w:iCs/>
          <w:lang w:val="en-US"/>
        </w:rPr>
        <w:t>July 2021 note</w:t>
      </w:r>
      <w:r w:rsidR="00E6442C">
        <w:rPr>
          <w:bCs/>
          <w:iCs/>
          <w:lang w:val="en-US"/>
        </w:rPr>
        <w:t>d that Spain had</w:t>
      </w:r>
      <w:r w:rsidR="00B16D15" w:rsidRPr="00B16D15">
        <w:rPr>
          <w:bCs/>
          <w:iCs/>
          <w:lang w:val="en-US"/>
        </w:rPr>
        <w:t xml:space="preserve"> not explained how the application for the annulment of the proceedings, if it had been filed in time, would have enabled the author to have his sentence reviewed by another, higher court. The Committee recalled that article 14 (5) of the Covenant establishes that everyone convicted of a crime has the right to have his or her conviction and sentence reviewed by a higher tribunal according to law. The Committee noted that there was no available effective remedy whereby the author could request that his conviction and sentence, handed down on appeal, be reviewed by a higher court. Accordingly, the Committee found that Spain violated the author’s rights under article 14 (5) of the Covenant</w:t>
      </w:r>
      <w:r w:rsidR="006C7519">
        <w:rPr>
          <w:bCs/>
          <w:iCs/>
          <w:lang w:val="en-US"/>
        </w:rPr>
        <w:t xml:space="preserve">. </w:t>
      </w:r>
      <w:r w:rsidR="006C7519" w:rsidRPr="00B16D15">
        <w:rPr>
          <w:bCs/>
          <w:iCs/>
          <w:lang w:val="en-US"/>
        </w:rPr>
        <w:t>Article 14 (5) is violated not only if the decision by the court of first instance is final, but also where a conviction imposed by an appeal court or a court of final instance, following acquittal by a lower court, according to domestic law, cannot</w:t>
      </w:r>
      <w:r w:rsidR="006C7519">
        <w:rPr>
          <w:bCs/>
          <w:iCs/>
          <w:lang w:val="en-US"/>
        </w:rPr>
        <w:t xml:space="preserve"> be reviewed by a higher court </w:t>
      </w:r>
      <w:r w:rsidR="00B16D15" w:rsidRPr="00B16D15">
        <w:rPr>
          <w:bCs/>
          <w:iCs/>
          <w:lang w:val="en-US"/>
        </w:rPr>
        <w:t>(</w:t>
      </w:r>
      <w:hyperlink r:id="rId11" w:history="1">
        <w:r w:rsidR="00B16D15" w:rsidRPr="00332747">
          <w:rPr>
            <w:rStyle w:val="Hyperlink"/>
            <w:bCs/>
            <w:iCs/>
            <w:lang w:val="en-US"/>
          </w:rPr>
          <w:t>CCPR/C/132/DR/2996/2017</w:t>
        </w:r>
      </w:hyperlink>
      <w:r w:rsidR="00B16D15" w:rsidRPr="00B16D15">
        <w:rPr>
          <w:bCs/>
          <w:iCs/>
          <w:lang w:val="en-US"/>
        </w:rPr>
        <w:t>).</w:t>
      </w:r>
    </w:p>
    <w:p w14:paraId="21D79640" w14:textId="6EC0DFA3" w:rsidR="00925788" w:rsidRPr="00925788" w:rsidRDefault="00925788" w:rsidP="00925788">
      <w:pPr>
        <w:spacing w:line="240" w:lineRule="auto"/>
        <w:jc w:val="both"/>
        <w:rPr>
          <w:bCs/>
          <w:iCs/>
          <w:lang w:val="en-US"/>
        </w:rPr>
      </w:pPr>
      <w:r w:rsidRPr="00925788">
        <w:rPr>
          <w:bCs/>
          <w:iCs/>
          <w:lang w:val="en-US"/>
        </w:rPr>
        <w:t xml:space="preserve">In April 2021, the Special Rapporteur on the independence of judges and lawyers in his report on “The coronavirus disease (COVID-19) pandemic: impact and challenges for independent justice” noted that lawyers have had to obtain ad hoc authorizations </w:t>
      </w:r>
      <w:r w:rsidR="00C9439A">
        <w:rPr>
          <w:bCs/>
          <w:iCs/>
          <w:lang w:val="en-US"/>
        </w:rPr>
        <w:t xml:space="preserve">to travel </w:t>
      </w:r>
      <w:r w:rsidRPr="00925788">
        <w:rPr>
          <w:bCs/>
          <w:iCs/>
          <w:lang w:val="en-US"/>
        </w:rPr>
        <w:t xml:space="preserve">in Spain. More specifically, a formal self-declaration by lawyers was sufficient to be able to travel, while in other places the authorities were responsible for issuing travel permits, which constituted </w:t>
      </w:r>
      <w:r w:rsidR="00C9439A">
        <w:rPr>
          <w:bCs/>
          <w:iCs/>
          <w:lang w:val="en-US"/>
        </w:rPr>
        <w:t>de facto authorization to work (</w:t>
      </w:r>
      <w:hyperlink r:id="rId12" w:history="1">
        <w:r w:rsidR="00C9439A" w:rsidRPr="00C9439A">
          <w:rPr>
            <w:rStyle w:val="Hyperlink"/>
            <w:bCs/>
            <w:iCs/>
            <w:lang w:val="en-US"/>
          </w:rPr>
          <w:t>A/HRC/47/35</w:t>
        </w:r>
      </w:hyperlink>
      <w:r w:rsidRPr="00925788">
        <w:rPr>
          <w:bCs/>
          <w:iCs/>
          <w:lang w:val="en-US"/>
        </w:rPr>
        <w:t>, para</w:t>
      </w:r>
      <w:r>
        <w:rPr>
          <w:bCs/>
          <w:iCs/>
          <w:lang w:val="en-US"/>
        </w:rPr>
        <w:t>.</w:t>
      </w:r>
      <w:r w:rsidRPr="00925788">
        <w:rPr>
          <w:bCs/>
          <w:iCs/>
          <w:lang w:val="en-US"/>
        </w:rPr>
        <w:t xml:space="preserve"> 59)</w:t>
      </w:r>
      <w:r w:rsidR="00332747">
        <w:rPr>
          <w:bCs/>
          <w:iCs/>
          <w:lang w:val="en-US"/>
        </w:rPr>
        <w:t>.</w:t>
      </w:r>
    </w:p>
    <w:p w14:paraId="72C5809F" w14:textId="6F9A656B" w:rsidR="00925788" w:rsidRDefault="00925788" w:rsidP="00180CF1">
      <w:pPr>
        <w:spacing w:line="240" w:lineRule="auto"/>
        <w:jc w:val="both"/>
        <w:rPr>
          <w:bCs/>
          <w:iCs/>
          <w:lang w:val="en-US"/>
        </w:rPr>
      </w:pPr>
    </w:p>
    <w:p w14:paraId="11319B6E" w14:textId="77777777" w:rsidR="00332747" w:rsidRPr="00180CF1" w:rsidRDefault="00332747" w:rsidP="00180CF1">
      <w:pPr>
        <w:spacing w:line="240" w:lineRule="auto"/>
        <w:jc w:val="both"/>
        <w:rPr>
          <w:bCs/>
          <w:iCs/>
          <w:lang w:val="en-US"/>
        </w:rPr>
      </w:pPr>
    </w:p>
    <w:p w14:paraId="2DD7067B" w14:textId="4DD5A626" w:rsidR="004D374D" w:rsidRDefault="00694C36" w:rsidP="00FF5A3B">
      <w:pPr>
        <w:widowControl w:val="0"/>
        <w:tabs>
          <w:tab w:val="left" w:pos="1216"/>
        </w:tabs>
        <w:autoSpaceDE w:val="0"/>
        <w:autoSpaceDN w:val="0"/>
        <w:spacing w:before="120" w:after="0" w:line="240" w:lineRule="auto"/>
        <w:rPr>
          <w:i/>
          <w:lang w:val="en-US"/>
        </w:rPr>
      </w:pPr>
      <w:r>
        <w:rPr>
          <w:i/>
          <w:lang w:val="en-US"/>
        </w:rPr>
        <w:t>13.</w:t>
      </w:r>
      <w:r w:rsidRPr="00694C36">
        <w:rPr>
          <w:i/>
          <w:lang w:val="en-US"/>
        </w:rPr>
        <w:t>Training of justice professionals (including judges, prosecutors, lawyers, court</w:t>
      </w:r>
      <w:r w:rsidRPr="00694C36">
        <w:rPr>
          <w:i/>
          <w:spacing w:val="-15"/>
          <w:lang w:val="en-US"/>
        </w:rPr>
        <w:t xml:space="preserve"> </w:t>
      </w:r>
      <w:r w:rsidRPr="00694C36">
        <w:rPr>
          <w:i/>
          <w:lang w:val="en-US"/>
        </w:rPr>
        <w:t>staff)</w:t>
      </w:r>
    </w:p>
    <w:p w14:paraId="7FDD8048" w14:textId="0CA43BF5" w:rsidR="004D374D" w:rsidRPr="00035341" w:rsidRDefault="004D374D" w:rsidP="00035341">
      <w:pPr>
        <w:widowControl w:val="0"/>
        <w:tabs>
          <w:tab w:val="left" w:pos="1216"/>
        </w:tabs>
        <w:autoSpaceDE w:val="0"/>
        <w:autoSpaceDN w:val="0"/>
        <w:spacing w:before="120" w:after="0" w:line="240" w:lineRule="auto"/>
        <w:jc w:val="both"/>
        <w:rPr>
          <w:lang w:val="en-US"/>
        </w:rPr>
      </w:pPr>
      <w:r w:rsidRPr="004D374D">
        <w:rPr>
          <w:lang w:val="en-US"/>
        </w:rPr>
        <w:t xml:space="preserve">In the report of </w:t>
      </w:r>
      <w:r w:rsidR="00035341">
        <w:rPr>
          <w:lang w:val="en-US"/>
        </w:rPr>
        <w:t xml:space="preserve"> f</w:t>
      </w:r>
      <w:r w:rsidR="00512845">
        <w:rPr>
          <w:lang w:val="en-US"/>
        </w:rPr>
        <w:t>ollow-up on hi</w:t>
      </w:r>
      <w:r w:rsidR="00035341">
        <w:rPr>
          <w:lang w:val="en-US"/>
        </w:rPr>
        <w:t>s</w:t>
      </w:r>
      <w:r w:rsidR="00035341" w:rsidRPr="00035341">
        <w:rPr>
          <w:lang w:val="en-US"/>
        </w:rPr>
        <w:t xml:space="preserve"> visits</w:t>
      </w:r>
      <w:r w:rsidR="00035341">
        <w:rPr>
          <w:lang w:val="en-US"/>
        </w:rPr>
        <w:t xml:space="preserve"> to </w:t>
      </w:r>
      <w:r w:rsidR="00A31818">
        <w:rPr>
          <w:lang w:val="en-US"/>
        </w:rPr>
        <w:t xml:space="preserve">Spain published in </w:t>
      </w:r>
      <w:r w:rsidR="00035341">
        <w:rPr>
          <w:lang w:val="en-US"/>
        </w:rPr>
        <w:t xml:space="preserve">August 2021, </w:t>
      </w:r>
      <w:r w:rsidR="00035341" w:rsidRPr="00035341">
        <w:rPr>
          <w:lang w:val="en-US"/>
        </w:rPr>
        <w:t>the Special Rapporteur on the promotion of truth, justice, reparation and guarantees of non-recurrence</w:t>
      </w:r>
      <w:r w:rsidR="00035341">
        <w:rPr>
          <w:lang w:val="en-US"/>
        </w:rPr>
        <w:t xml:space="preserve"> noted that his recommendation to s</w:t>
      </w:r>
      <w:r w:rsidRPr="004D374D">
        <w:rPr>
          <w:lang w:val="en-US"/>
        </w:rPr>
        <w:t xml:space="preserve">trengthen the programmes for the human rights training of the judiciary and incorporate subjects related to the </w:t>
      </w:r>
      <w:r w:rsidR="00332747">
        <w:rPr>
          <w:lang w:val="en-US"/>
        </w:rPr>
        <w:t>Civil War and the Franco era</w:t>
      </w:r>
      <w:r w:rsidRPr="004D374D">
        <w:rPr>
          <w:lang w:val="en-US"/>
        </w:rPr>
        <w:t>, including the study of the responsibilities incurred by State institutions in the serious human rights and humanitarian law violations t</w:t>
      </w:r>
      <w:r w:rsidR="009C5F8D">
        <w:rPr>
          <w:lang w:val="en-US"/>
        </w:rPr>
        <w:t xml:space="preserve">hat occurred during this period </w:t>
      </w:r>
      <w:r w:rsidR="00035341">
        <w:rPr>
          <w:lang w:val="en-US"/>
        </w:rPr>
        <w:t>ha</w:t>
      </w:r>
      <w:r w:rsidR="00911A81">
        <w:rPr>
          <w:lang w:val="en-US"/>
        </w:rPr>
        <w:t>d</w:t>
      </w:r>
      <w:r w:rsidR="00035341">
        <w:rPr>
          <w:lang w:val="en-US"/>
        </w:rPr>
        <w:t xml:space="preserve"> partially been implemented. He </w:t>
      </w:r>
      <w:r w:rsidR="009C5F8D">
        <w:rPr>
          <w:lang w:val="en-US"/>
        </w:rPr>
        <w:t>noted</w:t>
      </w:r>
      <w:r w:rsidR="00035341">
        <w:rPr>
          <w:lang w:val="en-US"/>
        </w:rPr>
        <w:t xml:space="preserve"> that t</w:t>
      </w:r>
      <w:r w:rsidRPr="004D374D">
        <w:rPr>
          <w:lang w:val="en-US"/>
        </w:rPr>
        <w:t xml:space="preserve">he continuous training programme for </w:t>
      </w:r>
      <w:r w:rsidR="00A31818">
        <w:rPr>
          <w:lang w:val="en-US"/>
        </w:rPr>
        <w:t>the judicial profession included</w:t>
      </w:r>
      <w:r w:rsidRPr="004D374D">
        <w:rPr>
          <w:lang w:val="en-US"/>
        </w:rPr>
        <w:t xml:space="preserve"> courses on the protection of human rights, in particular on transitional justice, victims and human rights and on human rights and enforced disappe</w:t>
      </w:r>
      <w:r w:rsidR="00A31818">
        <w:rPr>
          <w:lang w:val="en-US"/>
        </w:rPr>
        <w:t>arance. However, the training was</w:t>
      </w:r>
      <w:r w:rsidRPr="004D374D">
        <w:rPr>
          <w:lang w:val="en-US"/>
        </w:rPr>
        <w:t xml:space="preserve"> targeted at a limited number of bene</w:t>
      </w:r>
      <w:r w:rsidR="00A31818">
        <w:rPr>
          <w:lang w:val="en-US"/>
        </w:rPr>
        <w:t>ficiaries and was</w:t>
      </w:r>
      <w:r w:rsidR="00035341">
        <w:rPr>
          <w:lang w:val="en-US"/>
        </w:rPr>
        <w:t xml:space="preserve"> not compulsory (</w:t>
      </w:r>
      <w:hyperlink r:id="rId13" w:history="1">
        <w:r w:rsidR="00035341" w:rsidRPr="00035341">
          <w:rPr>
            <w:rStyle w:val="Hyperlink"/>
            <w:lang w:val="en-US"/>
          </w:rPr>
          <w:t>A/HRC/48/60/Add.1</w:t>
        </w:r>
      </w:hyperlink>
      <w:r w:rsidR="00035341">
        <w:rPr>
          <w:lang w:val="en-US"/>
        </w:rPr>
        <w:t>).</w:t>
      </w:r>
    </w:p>
    <w:p w14:paraId="663EC294" w14:textId="77777777" w:rsidR="00FF5A3B" w:rsidRPr="00FF5A3B" w:rsidRDefault="00FF5A3B" w:rsidP="00FF5A3B">
      <w:pPr>
        <w:widowControl w:val="0"/>
        <w:tabs>
          <w:tab w:val="left" w:pos="1217"/>
        </w:tabs>
        <w:autoSpaceDE w:val="0"/>
        <w:autoSpaceDN w:val="0"/>
        <w:spacing w:before="121" w:after="0" w:line="240" w:lineRule="auto"/>
        <w:ind w:right="425"/>
        <w:rPr>
          <w:i/>
          <w:lang w:val="en-US"/>
        </w:rPr>
      </w:pPr>
    </w:p>
    <w:p w14:paraId="2BD70D89" w14:textId="77777777" w:rsidR="00F57A58" w:rsidRDefault="001B7CA2" w:rsidP="001B7CA2">
      <w:pPr>
        <w:rPr>
          <w:b/>
          <w:bCs/>
          <w:i/>
          <w:iCs/>
          <w:lang w:val="en-GB"/>
        </w:rPr>
      </w:pPr>
      <w:r w:rsidRPr="009D1508">
        <w:rPr>
          <w:b/>
          <w:bCs/>
          <w:i/>
          <w:iCs/>
          <w:lang w:val="en-GB"/>
        </w:rPr>
        <w:t xml:space="preserve">Other – please specify </w:t>
      </w:r>
    </w:p>
    <w:p w14:paraId="341A7C2D" w14:textId="275CD752" w:rsidR="00F57A58" w:rsidRDefault="00F57A58" w:rsidP="00F57A58">
      <w:pPr>
        <w:jc w:val="both"/>
        <w:rPr>
          <w:bCs/>
          <w:iCs/>
          <w:lang w:val="en-US"/>
        </w:rPr>
      </w:pPr>
      <w:r w:rsidRPr="00F57A58">
        <w:rPr>
          <w:b/>
          <w:bCs/>
          <w:iCs/>
          <w:lang w:val="en-US"/>
        </w:rPr>
        <w:t>Protection of children from domestic violence and sexual abuse</w:t>
      </w:r>
      <w:r>
        <w:rPr>
          <w:b/>
          <w:bCs/>
          <w:iCs/>
          <w:lang w:val="en-US"/>
        </w:rPr>
        <w:t xml:space="preserve"> – </w:t>
      </w:r>
      <w:r w:rsidR="00656279">
        <w:rPr>
          <w:bCs/>
          <w:iCs/>
          <w:lang w:val="en-US"/>
        </w:rPr>
        <w:t>I</w:t>
      </w:r>
      <w:r>
        <w:rPr>
          <w:bCs/>
          <w:iCs/>
          <w:lang w:val="en-US"/>
        </w:rPr>
        <w:t>n De</w:t>
      </w:r>
      <w:r w:rsidR="00332747">
        <w:rPr>
          <w:bCs/>
          <w:iCs/>
          <w:lang w:val="en-US"/>
        </w:rPr>
        <w:t xml:space="preserve">cember 2021, in their statement, </w:t>
      </w:r>
      <w:r>
        <w:rPr>
          <w:bCs/>
          <w:iCs/>
          <w:lang w:val="en-US"/>
        </w:rPr>
        <w:t>several Special Procedures stated that c</w:t>
      </w:r>
      <w:r w:rsidRPr="00F57A58">
        <w:rPr>
          <w:bCs/>
          <w:iCs/>
          <w:lang w:val="en-US"/>
        </w:rPr>
        <w:t>hildren in Spain are being exposed to violence and sexual ab</w:t>
      </w:r>
      <w:r w:rsidR="00332747">
        <w:rPr>
          <w:bCs/>
          <w:iCs/>
          <w:lang w:val="en-US"/>
        </w:rPr>
        <w:t>use by a judicial system that was</w:t>
      </w:r>
      <w:r w:rsidRPr="00F57A58">
        <w:rPr>
          <w:bCs/>
          <w:iCs/>
          <w:lang w:val="en-US"/>
        </w:rPr>
        <w:t xml:space="preserve"> failing to protect them from abusive fathers</w:t>
      </w:r>
      <w:r w:rsidR="00656279">
        <w:rPr>
          <w:bCs/>
          <w:iCs/>
          <w:lang w:val="en-US"/>
        </w:rPr>
        <w:t>. There was particularly concern over</w:t>
      </w:r>
      <w:r w:rsidR="00656279" w:rsidRPr="00656279">
        <w:rPr>
          <w:bCs/>
          <w:iCs/>
          <w:lang w:val="en-US"/>
        </w:rPr>
        <w:t xml:space="preserve"> the case o</w:t>
      </w:r>
      <w:r w:rsidR="00332747">
        <w:rPr>
          <w:bCs/>
          <w:iCs/>
          <w:lang w:val="en-US"/>
        </w:rPr>
        <w:t xml:space="preserve">f Diana García M., who </w:t>
      </w:r>
      <w:r w:rsidR="00656279" w:rsidRPr="00656279">
        <w:rPr>
          <w:bCs/>
          <w:iCs/>
          <w:lang w:val="en-US"/>
        </w:rPr>
        <w:t>lost custody on first instance of her 6-year-old daughter after being accused of hindering the relationship between the child and her father. Despite a history of domestic vio</w:t>
      </w:r>
      <w:r w:rsidR="00332747">
        <w:rPr>
          <w:bCs/>
          <w:iCs/>
          <w:lang w:val="en-US"/>
        </w:rPr>
        <w:t>lence and evidence suggesting the father</w:t>
      </w:r>
      <w:r w:rsidR="00656279" w:rsidRPr="00656279">
        <w:rPr>
          <w:bCs/>
          <w:iCs/>
          <w:lang w:val="en-US"/>
        </w:rPr>
        <w:t xml:space="preserve"> had committed sexual abuse against hi</w:t>
      </w:r>
      <w:r w:rsidR="00332747">
        <w:rPr>
          <w:bCs/>
          <w:iCs/>
          <w:lang w:val="en-US"/>
        </w:rPr>
        <w:t>s daughter for years, he</w:t>
      </w:r>
      <w:r w:rsidR="00656279" w:rsidRPr="00656279">
        <w:rPr>
          <w:bCs/>
          <w:iCs/>
          <w:lang w:val="en-US"/>
        </w:rPr>
        <w:t xml:space="preserve"> was granted full custody by the court of Pozuelo de Alarcón.</w:t>
      </w:r>
      <w:r w:rsidR="00656279">
        <w:rPr>
          <w:bCs/>
          <w:iCs/>
          <w:lang w:val="en-US"/>
        </w:rPr>
        <w:t xml:space="preserve"> They noted that </w:t>
      </w:r>
      <w:r w:rsidR="00332747">
        <w:rPr>
          <w:bCs/>
          <w:iCs/>
          <w:lang w:val="en-US"/>
        </w:rPr>
        <w:t>d</w:t>
      </w:r>
      <w:r w:rsidR="00332747" w:rsidRPr="00656279">
        <w:rPr>
          <w:bCs/>
          <w:iCs/>
          <w:lang w:val="en-US"/>
        </w:rPr>
        <w:t>espite</w:t>
      </w:r>
      <w:r w:rsidR="00656279" w:rsidRPr="00656279">
        <w:rPr>
          <w:bCs/>
          <w:iCs/>
          <w:lang w:val="en-US"/>
        </w:rPr>
        <w:t xml:space="preserve"> clear guidance to the contrary in the Convention on the Rights of the Child, courts </w:t>
      </w:r>
      <w:r w:rsidR="00332747">
        <w:rPr>
          <w:bCs/>
          <w:iCs/>
          <w:lang w:val="en-US"/>
        </w:rPr>
        <w:t>continue to determine that it was</w:t>
      </w:r>
      <w:r w:rsidR="00656279" w:rsidRPr="00656279">
        <w:rPr>
          <w:bCs/>
          <w:iCs/>
          <w:lang w:val="en-US"/>
        </w:rPr>
        <w:t xml:space="preserve"> always in the child’s best interest to maintain contact with a pare</w:t>
      </w:r>
      <w:r w:rsidR="00FC0699">
        <w:rPr>
          <w:bCs/>
          <w:iCs/>
          <w:lang w:val="en-US"/>
        </w:rPr>
        <w:t xml:space="preserve">nt, even when those parents were </w:t>
      </w:r>
      <w:r w:rsidR="00656279" w:rsidRPr="00656279">
        <w:rPr>
          <w:bCs/>
          <w:iCs/>
          <w:lang w:val="en-US"/>
        </w:rPr>
        <w:t>viole</w:t>
      </w:r>
      <w:r w:rsidR="00FC0699">
        <w:rPr>
          <w:bCs/>
          <w:iCs/>
          <w:lang w:val="en-US"/>
        </w:rPr>
        <w:t>nt or abusive</w:t>
      </w:r>
      <w:r w:rsidR="00656279" w:rsidRPr="00656279">
        <w:rPr>
          <w:bCs/>
          <w:iCs/>
          <w:lang w:val="en-US"/>
        </w:rPr>
        <w:t>.</w:t>
      </w:r>
      <w:r w:rsidR="00656279">
        <w:rPr>
          <w:bCs/>
          <w:iCs/>
          <w:lang w:val="en-US"/>
        </w:rPr>
        <w:t xml:space="preserve"> They recommended that </w:t>
      </w:r>
      <w:r w:rsidRPr="00F57A58">
        <w:rPr>
          <w:bCs/>
          <w:iCs/>
          <w:lang w:val="en-US"/>
        </w:rPr>
        <w:t xml:space="preserve">Spain ensure </w:t>
      </w:r>
      <w:r w:rsidR="004B3154">
        <w:rPr>
          <w:bCs/>
          <w:iCs/>
          <w:lang w:val="en-US"/>
        </w:rPr>
        <w:t xml:space="preserve">that </w:t>
      </w:r>
      <w:r w:rsidRPr="00F57A58">
        <w:rPr>
          <w:bCs/>
          <w:iCs/>
          <w:lang w:val="en-US"/>
        </w:rPr>
        <w:t xml:space="preserve">all officials in the justice system </w:t>
      </w:r>
      <w:r w:rsidR="00656279">
        <w:rPr>
          <w:bCs/>
          <w:iCs/>
          <w:lang w:val="en-US"/>
        </w:rPr>
        <w:t xml:space="preserve"> </w:t>
      </w:r>
      <w:r w:rsidRPr="00F57A58">
        <w:rPr>
          <w:bCs/>
          <w:iCs/>
          <w:lang w:val="en-US"/>
        </w:rPr>
        <w:t>apply a gender-sensitive, child-</w:t>
      </w:r>
      <w:r w:rsidR="00332747" w:rsidRPr="00F57A58">
        <w:rPr>
          <w:bCs/>
          <w:iCs/>
          <w:lang w:val="en-US"/>
        </w:rPr>
        <w:t>centered</w:t>
      </w:r>
      <w:r w:rsidRPr="00F57A58">
        <w:rPr>
          <w:bCs/>
          <w:iCs/>
          <w:lang w:val="en-US"/>
        </w:rPr>
        <w:t xml:space="preserve"> approach to cases involving child</w:t>
      </w:r>
      <w:r w:rsidR="00656279">
        <w:rPr>
          <w:bCs/>
          <w:iCs/>
          <w:lang w:val="en-US"/>
        </w:rPr>
        <w:t xml:space="preserve"> custody and domestic violence (at </w:t>
      </w:r>
      <w:hyperlink r:id="rId14" w:history="1">
        <w:r w:rsidR="00656279" w:rsidRPr="0069131A">
          <w:rPr>
            <w:rStyle w:val="Hyperlink"/>
            <w:bCs/>
            <w:iCs/>
            <w:lang w:val="en-US"/>
          </w:rPr>
          <w:t>https://www.ohchr.org/EN/NewsEvents/Pages/DisplayNews.aspx?NewsID=27935&amp;LangID=E</w:t>
        </w:r>
      </w:hyperlink>
      <w:r w:rsidR="00656279">
        <w:rPr>
          <w:bCs/>
          <w:iCs/>
          <w:lang w:val="en-US"/>
        </w:rPr>
        <w:t>).</w:t>
      </w:r>
    </w:p>
    <w:p w14:paraId="413C9AD3" w14:textId="47B92828" w:rsidR="005B2F94" w:rsidRPr="00656279" w:rsidRDefault="00357876" w:rsidP="00357876">
      <w:pPr>
        <w:jc w:val="both"/>
        <w:rPr>
          <w:bCs/>
          <w:iCs/>
          <w:lang w:val="en-GB"/>
        </w:rPr>
      </w:pPr>
      <w:r w:rsidRPr="00656279">
        <w:rPr>
          <w:b/>
          <w:bCs/>
          <w:iCs/>
          <w:lang w:val="en-GB"/>
        </w:rPr>
        <w:t>Military jurisdiction</w:t>
      </w:r>
      <w:r>
        <w:rPr>
          <w:bCs/>
          <w:i/>
          <w:iCs/>
          <w:lang w:val="en-GB"/>
        </w:rPr>
        <w:t xml:space="preserve"> - </w:t>
      </w:r>
      <w:r>
        <w:rPr>
          <w:bCs/>
          <w:iCs/>
          <w:lang w:val="en-GB"/>
        </w:rPr>
        <w:t>In its 2021</w:t>
      </w:r>
      <w:r w:rsidRPr="005B2F94">
        <w:rPr>
          <w:bCs/>
          <w:iCs/>
          <w:lang w:val="en-GB"/>
        </w:rPr>
        <w:t xml:space="preserve"> concluding observations, </w:t>
      </w:r>
      <w:r>
        <w:rPr>
          <w:bCs/>
          <w:iCs/>
          <w:lang w:val="en-GB"/>
        </w:rPr>
        <w:t>t</w:t>
      </w:r>
      <w:r w:rsidRPr="00357876">
        <w:rPr>
          <w:bCs/>
          <w:iCs/>
          <w:lang w:val="en-GB"/>
        </w:rPr>
        <w:t>he Committee on Enforced Disappearances</w:t>
      </w:r>
      <w:r>
        <w:rPr>
          <w:b/>
          <w:bCs/>
          <w:iCs/>
          <w:lang w:val="en-GB"/>
        </w:rPr>
        <w:t xml:space="preserve"> </w:t>
      </w:r>
      <w:r>
        <w:rPr>
          <w:bCs/>
          <w:iCs/>
          <w:lang w:val="en-GB"/>
        </w:rPr>
        <w:t>welcomed</w:t>
      </w:r>
      <w:r w:rsidRPr="00357876">
        <w:rPr>
          <w:bCs/>
          <w:iCs/>
          <w:lang w:val="en-GB"/>
        </w:rPr>
        <w:t xml:space="preserve"> </w:t>
      </w:r>
      <w:r>
        <w:rPr>
          <w:bCs/>
          <w:iCs/>
          <w:lang w:val="en-GB"/>
        </w:rPr>
        <w:t xml:space="preserve">the fact that </w:t>
      </w:r>
      <w:r w:rsidR="00A31818">
        <w:rPr>
          <w:bCs/>
          <w:iCs/>
          <w:lang w:val="en-GB"/>
        </w:rPr>
        <w:t>the ordinary courts were</w:t>
      </w:r>
      <w:r w:rsidRPr="00357876">
        <w:rPr>
          <w:bCs/>
          <w:iCs/>
          <w:lang w:val="en-GB"/>
        </w:rPr>
        <w:t xml:space="preserve"> generally always </w:t>
      </w:r>
      <w:r w:rsidR="00A31818">
        <w:rPr>
          <w:bCs/>
          <w:iCs/>
          <w:lang w:val="en-GB"/>
        </w:rPr>
        <w:t>competent to investigate and tr</w:t>
      </w:r>
      <w:r w:rsidR="007C4914">
        <w:rPr>
          <w:bCs/>
          <w:iCs/>
          <w:lang w:val="en-GB"/>
        </w:rPr>
        <w:t>y</w:t>
      </w:r>
      <w:r w:rsidRPr="00357876">
        <w:rPr>
          <w:bCs/>
          <w:iCs/>
          <w:lang w:val="en-GB"/>
        </w:rPr>
        <w:t xml:space="preserve"> the offence established under article 607 bis” of the Criminal Code (crime against humanity). </w:t>
      </w:r>
      <w:r>
        <w:rPr>
          <w:bCs/>
          <w:iCs/>
          <w:lang w:val="en-GB"/>
        </w:rPr>
        <w:t>However, the Committee was</w:t>
      </w:r>
      <w:r w:rsidRPr="00357876">
        <w:rPr>
          <w:bCs/>
          <w:iCs/>
          <w:lang w:val="en-GB"/>
        </w:rPr>
        <w:t xml:space="preserve"> concerned that, according to the informa</w:t>
      </w:r>
      <w:r>
        <w:rPr>
          <w:bCs/>
          <w:iCs/>
          <w:lang w:val="en-GB"/>
        </w:rPr>
        <w:t>tion provided by Spain</w:t>
      </w:r>
      <w:r w:rsidRPr="00357876">
        <w:rPr>
          <w:bCs/>
          <w:iCs/>
          <w:lang w:val="en-GB"/>
        </w:rPr>
        <w:t>, the military courts may have jurisdiction to investigate and adjudicate cases of enforced disappearance committ</w:t>
      </w:r>
      <w:r w:rsidR="00A31818">
        <w:rPr>
          <w:bCs/>
          <w:iCs/>
          <w:lang w:val="en-GB"/>
        </w:rPr>
        <w:t>ed by military personnel that did</w:t>
      </w:r>
      <w:r w:rsidRPr="00357876">
        <w:rPr>
          <w:bCs/>
          <w:iCs/>
          <w:lang w:val="en-GB"/>
        </w:rPr>
        <w:t xml:space="preserve"> not qualify as crimes against humanity when certain exceptional requirements </w:t>
      </w:r>
      <w:r w:rsidR="00A31818">
        <w:rPr>
          <w:bCs/>
          <w:iCs/>
          <w:lang w:val="en-GB"/>
        </w:rPr>
        <w:t>were</w:t>
      </w:r>
      <w:r>
        <w:rPr>
          <w:bCs/>
          <w:iCs/>
          <w:lang w:val="en-GB"/>
        </w:rPr>
        <w:t xml:space="preserve"> met. The Committee reasserted</w:t>
      </w:r>
      <w:r w:rsidRPr="00357876">
        <w:rPr>
          <w:bCs/>
          <w:iCs/>
          <w:lang w:val="en-GB"/>
        </w:rPr>
        <w:t xml:space="preserve"> its position that, as a matter of principle, cases of enforced disappearance should always remain outside military jurisdiction and should fall within the exclusive competence of the ordinary (not mil</w:t>
      </w:r>
      <w:r w:rsidR="00A31818">
        <w:rPr>
          <w:bCs/>
          <w:iCs/>
          <w:lang w:val="en-GB"/>
        </w:rPr>
        <w:t>itary) criminal courts</w:t>
      </w:r>
      <w:r w:rsidRPr="00357876">
        <w:rPr>
          <w:bCs/>
          <w:iCs/>
          <w:lang w:val="en-GB"/>
        </w:rPr>
        <w:t>.</w:t>
      </w:r>
      <w:r>
        <w:rPr>
          <w:b/>
          <w:bCs/>
          <w:iCs/>
          <w:lang w:val="en-GB"/>
        </w:rPr>
        <w:t xml:space="preserve"> </w:t>
      </w:r>
      <w:r w:rsidRPr="00357876">
        <w:rPr>
          <w:bCs/>
          <w:iCs/>
          <w:lang w:val="en-GB"/>
        </w:rPr>
        <w:t>T</w:t>
      </w:r>
      <w:r>
        <w:rPr>
          <w:bCs/>
          <w:iCs/>
          <w:lang w:val="en-GB"/>
        </w:rPr>
        <w:t xml:space="preserve">he Committee recommended that Spain </w:t>
      </w:r>
      <w:r w:rsidRPr="00357876">
        <w:rPr>
          <w:bCs/>
          <w:iCs/>
          <w:lang w:val="en-GB"/>
        </w:rPr>
        <w:t>expressly exclude the investigation and prosecution of cases of enforced disappearance from the competence of the military courts</w:t>
      </w:r>
      <w:r>
        <w:rPr>
          <w:bCs/>
          <w:iCs/>
          <w:lang w:val="en-GB"/>
        </w:rPr>
        <w:t xml:space="preserve"> (</w:t>
      </w:r>
      <w:hyperlink r:id="rId15" w:history="1">
        <w:r w:rsidRPr="00357876">
          <w:rPr>
            <w:rStyle w:val="Hyperlink"/>
            <w:bCs/>
            <w:iCs/>
            <w:lang w:val="en-US"/>
          </w:rPr>
          <w:t>CED/C/ESP/OAI/1</w:t>
        </w:r>
      </w:hyperlink>
      <w:r>
        <w:rPr>
          <w:bCs/>
          <w:iCs/>
          <w:lang w:val="en-US"/>
        </w:rPr>
        <w:t>, p</w:t>
      </w:r>
      <w:r w:rsidR="00E86BDB" w:rsidRPr="00E86BDB">
        <w:rPr>
          <w:bCs/>
          <w:iCs/>
          <w:lang w:val="en-US"/>
        </w:rPr>
        <w:t>ara</w:t>
      </w:r>
      <w:r w:rsidR="00A31818">
        <w:rPr>
          <w:bCs/>
          <w:iCs/>
          <w:lang w:val="en-US"/>
        </w:rPr>
        <w:t>s.</w:t>
      </w:r>
      <w:r w:rsidR="00E86BDB" w:rsidRPr="00E86BDB">
        <w:rPr>
          <w:bCs/>
          <w:iCs/>
          <w:lang w:val="en-US"/>
        </w:rPr>
        <w:t xml:space="preserve"> </w:t>
      </w:r>
      <w:r>
        <w:rPr>
          <w:bCs/>
          <w:iCs/>
          <w:lang w:val="en-US"/>
        </w:rPr>
        <w:t>7,</w:t>
      </w:r>
      <w:r w:rsidR="008B45F5">
        <w:rPr>
          <w:bCs/>
          <w:iCs/>
          <w:lang w:val="en-US"/>
        </w:rPr>
        <w:t xml:space="preserve"> </w:t>
      </w:r>
      <w:r>
        <w:rPr>
          <w:bCs/>
          <w:iCs/>
          <w:lang w:val="en-US"/>
        </w:rPr>
        <w:t>8</w:t>
      </w:r>
      <w:r w:rsidR="00E86BDB" w:rsidRPr="00E86BDB">
        <w:rPr>
          <w:bCs/>
          <w:iCs/>
          <w:lang w:val="en-US"/>
        </w:rPr>
        <w:t>).</w:t>
      </w:r>
    </w:p>
    <w:p w14:paraId="4A806C04" w14:textId="1D500BA3" w:rsidR="00CF5D95" w:rsidRPr="00A31818" w:rsidRDefault="008B45F5" w:rsidP="00357876">
      <w:pPr>
        <w:jc w:val="both"/>
        <w:rPr>
          <w:bCs/>
          <w:i/>
          <w:iCs/>
          <w:lang w:val="en-GB"/>
        </w:rPr>
      </w:pPr>
      <w:r w:rsidRPr="00656279">
        <w:rPr>
          <w:b/>
          <w:bCs/>
          <w:iCs/>
          <w:lang w:val="en-GB"/>
        </w:rPr>
        <w:t>Investigation of enforced disappearance</w:t>
      </w:r>
      <w:r>
        <w:rPr>
          <w:bCs/>
          <w:i/>
          <w:iCs/>
          <w:lang w:val="en-GB"/>
        </w:rPr>
        <w:t xml:space="preserve"> - </w:t>
      </w:r>
      <w:r w:rsidRPr="008B45F5">
        <w:rPr>
          <w:bCs/>
          <w:iCs/>
          <w:lang w:val="en-GB"/>
        </w:rPr>
        <w:t>In its 2021 concluding observations, the Committee on Enforced Disappearances</w:t>
      </w:r>
      <w:r w:rsidRPr="008B45F5">
        <w:rPr>
          <w:b/>
          <w:bCs/>
          <w:iCs/>
          <w:lang w:val="en-GB"/>
        </w:rPr>
        <w:t xml:space="preserve"> </w:t>
      </w:r>
      <w:r w:rsidR="00A31818">
        <w:rPr>
          <w:bCs/>
          <w:iCs/>
          <w:lang w:val="en-GB"/>
        </w:rPr>
        <w:t xml:space="preserve">noted </w:t>
      </w:r>
      <w:r w:rsidRPr="008B45F5">
        <w:rPr>
          <w:bCs/>
          <w:iCs/>
          <w:lang w:val="en-GB"/>
        </w:rPr>
        <w:t xml:space="preserve">with concern </w:t>
      </w:r>
      <w:r w:rsidR="00A31818">
        <w:rPr>
          <w:bCs/>
          <w:iCs/>
          <w:lang w:val="en-GB"/>
        </w:rPr>
        <w:t xml:space="preserve">that </w:t>
      </w:r>
      <w:r w:rsidRPr="008B45F5">
        <w:rPr>
          <w:bCs/>
          <w:iCs/>
          <w:lang w:val="en-GB"/>
        </w:rPr>
        <w:t>the allegations received regarding the lack of progress in investigating enforced disappearances perpetrated in the past</w:t>
      </w:r>
      <w:r>
        <w:rPr>
          <w:bCs/>
          <w:iCs/>
          <w:lang w:val="en-GB"/>
        </w:rPr>
        <w:t>. Specifically, the Committee was</w:t>
      </w:r>
      <w:r w:rsidR="00A31818">
        <w:rPr>
          <w:bCs/>
          <w:iCs/>
          <w:lang w:val="en-GB"/>
        </w:rPr>
        <w:t xml:space="preserve"> concerned that complaints had</w:t>
      </w:r>
      <w:r w:rsidRPr="008B45F5">
        <w:rPr>
          <w:bCs/>
          <w:iCs/>
          <w:lang w:val="en-GB"/>
        </w:rPr>
        <w:t xml:space="preserve"> continued to be dismissed based on the ruling of the Supreme Court in 2012 (Judgment No. 101/2012) on the grounds, inter </w:t>
      </w:r>
      <w:r w:rsidR="00805321" w:rsidRPr="008B45F5">
        <w:rPr>
          <w:bCs/>
          <w:iCs/>
          <w:lang w:val="en-GB"/>
        </w:rPr>
        <w:t>alia that</w:t>
      </w:r>
      <w:r w:rsidRPr="008B45F5">
        <w:rPr>
          <w:bCs/>
          <w:iCs/>
          <w:lang w:val="en-GB"/>
        </w:rPr>
        <w:t xml:space="preserve"> the alleged acts were covered by the 1977 Amnesty Act or were tim</w:t>
      </w:r>
      <w:r>
        <w:rPr>
          <w:bCs/>
          <w:iCs/>
          <w:lang w:val="en-GB"/>
        </w:rPr>
        <w:t>e-barred. The Committee welcomed</w:t>
      </w:r>
      <w:r w:rsidRPr="008B45F5">
        <w:rPr>
          <w:bCs/>
          <w:iCs/>
          <w:lang w:val="en-GB"/>
        </w:rPr>
        <w:t xml:space="preserve"> the statement made during the dialogue </w:t>
      </w:r>
      <w:r w:rsidR="00FC0699">
        <w:rPr>
          <w:bCs/>
          <w:iCs/>
          <w:lang w:val="en-GB"/>
        </w:rPr>
        <w:t xml:space="preserve">with Spain </w:t>
      </w:r>
      <w:r w:rsidRPr="008B45F5">
        <w:rPr>
          <w:bCs/>
          <w:iCs/>
          <w:lang w:val="en-GB"/>
        </w:rPr>
        <w:t>that</w:t>
      </w:r>
      <w:bookmarkStart w:id="0" w:name="_Hlk90908178"/>
      <w:r w:rsidRPr="008B45F5">
        <w:rPr>
          <w:bCs/>
          <w:iCs/>
          <w:lang w:val="en-GB"/>
        </w:rPr>
        <w:t>, in cases of en</w:t>
      </w:r>
      <w:r w:rsidR="00A31818">
        <w:rPr>
          <w:bCs/>
          <w:iCs/>
          <w:lang w:val="en-GB"/>
        </w:rPr>
        <w:t>forced disappearance where it was</w:t>
      </w:r>
      <w:r w:rsidRPr="008B45F5">
        <w:rPr>
          <w:bCs/>
          <w:iCs/>
          <w:lang w:val="en-GB"/>
        </w:rPr>
        <w:t xml:space="preserve"> not known whether the disappeared person has died, the term of l</w:t>
      </w:r>
      <w:r w:rsidR="00A31818">
        <w:rPr>
          <w:bCs/>
          <w:iCs/>
          <w:lang w:val="en-GB"/>
        </w:rPr>
        <w:t>imitation did</w:t>
      </w:r>
      <w:r w:rsidRPr="008B45F5">
        <w:rPr>
          <w:bCs/>
          <w:iCs/>
          <w:lang w:val="en-GB"/>
        </w:rPr>
        <w:t xml:space="preserve"> not begin to run until the disappearance ha</w:t>
      </w:r>
      <w:r w:rsidR="00805721">
        <w:rPr>
          <w:bCs/>
          <w:iCs/>
          <w:lang w:val="en-GB"/>
        </w:rPr>
        <w:t>d</w:t>
      </w:r>
      <w:r w:rsidRPr="008B45F5">
        <w:rPr>
          <w:bCs/>
          <w:iCs/>
          <w:lang w:val="en-GB"/>
        </w:rPr>
        <w:t xml:space="preserve"> </w:t>
      </w:r>
      <w:r w:rsidRPr="008B45F5">
        <w:rPr>
          <w:bCs/>
          <w:iCs/>
          <w:lang w:val="en-GB"/>
        </w:rPr>
        <w:lastRenderedPageBreak/>
        <w:t>ceased</w:t>
      </w:r>
      <w:bookmarkStart w:id="1" w:name="_GoBack"/>
      <w:bookmarkEnd w:id="1"/>
      <w:r w:rsidRPr="008B45F5">
        <w:rPr>
          <w:bCs/>
          <w:iCs/>
          <w:lang w:val="en-GB"/>
        </w:rPr>
        <w:t>, meaning unt</w:t>
      </w:r>
      <w:r w:rsidR="00FC0699">
        <w:rPr>
          <w:bCs/>
          <w:iCs/>
          <w:lang w:val="en-GB"/>
        </w:rPr>
        <w:t>il the location of the person was</w:t>
      </w:r>
      <w:r w:rsidRPr="008B45F5">
        <w:rPr>
          <w:bCs/>
          <w:iCs/>
          <w:lang w:val="en-GB"/>
        </w:rPr>
        <w:t xml:space="preserve"> known, since enforced </w:t>
      </w:r>
      <w:r w:rsidR="00FC0699">
        <w:rPr>
          <w:bCs/>
          <w:iCs/>
          <w:lang w:val="en-GB"/>
        </w:rPr>
        <w:t>disappearance was</w:t>
      </w:r>
      <w:r w:rsidRPr="008B45F5">
        <w:rPr>
          <w:bCs/>
          <w:iCs/>
          <w:lang w:val="en-GB"/>
        </w:rPr>
        <w:t xml:space="preserve"> a continuous crime. </w:t>
      </w:r>
      <w:bookmarkEnd w:id="0"/>
      <w:r w:rsidRPr="008B45F5">
        <w:rPr>
          <w:bCs/>
          <w:iCs/>
          <w:lang w:val="en-GB"/>
        </w:rPr>
        <w:t>Howe</w:t>
      </w:r>
      <w:r w:rsidR="00FC0699">
        <w:rPr>
          <w:bCs/>
          <w:iCs/>
          <w:lang w:val="en-GB"/>
        </w:rPr>
        <w:t>ver, it</w:t>
      </w:r>
      <w:r w:rsidR="00805721">
        <w:rPr>
          <w:bCs/>
          <w:iCs/>
          <w:lang w:val="en-GB"/>
        </w:rPr>
        <w:t xml:space="preserve"> was</w:t>
      </w:r>
      <w:r w:rsidR="00FC0699">
        <w:rPr>
          <w:bCs/>
          <w:iCs/>
          <w:lang w:val="en-GB"/>
        </w:rPr>
        <w:t xml:space="preserve"> concerned </w:t>
      </w:r>
      <w:r w:rsidRPr="008B45F5">
        <w:rPr>
          <w:bCs/>
          <w:iCs/>
          <w:lang w:val="en-GB"/>
        </w:rPr>
        <w:t>th</w:t>
      </w:r>
      <w:r w:rsidR="00A31818">
        <w:rPr>
          <w:bCs/>
          <w:iCs/>
          <w:lang w:val="en-GB"/>
        </w:rPr>
        <w:t>at the judicial authorities had</w:t>
      </w:r>
      <w:r w:rsidRPr="008B45F5">
        <w:rPr>
          <w:bCs/>
          <w:iCs/>
          <w:lang w:val="en-GB"/>
        </w:rPr>
        <w:t xml:space="preserve"> continued to presume the death of disappeared persons base</w:t>
      </w:r>
      <w:r w:rsidR="00A31818">
        <w:rPr>
          <w:bCs/>
          <w:iCs/>
          <w:lang w:val="en-GB"/>
        </w:rPr>
        <w:t>d on the period of time that had</w:t>
      </w:r>
      <w:r w:rsidRPr="008B45F5">
        <w:rPr>
          <w:bCs/>
          <w:iCs/>
          <w:lang w:val="en-GB"/>
        </w:rPr>
        <w:t xml:space="preserve"> elapsed since the enforced di</w:t>
      </w:r>
      <w:r>
        <w:rPr>
          <w:bCs/>
          <w:iCs/>
          <w:lang w:val="en-GB"/>
        </w:rPr>
        <w:t>sappearance</w:t>
      </w:r>
      <w:r w:rsidRPr="008B45F5">
        <w:rPr>
          <w:bCs/>
          <w:iCs/>
          <w:lang w:val="en-GB"/>
        </w:rPr>
        <w:t xml:space="preserve">. The Committee again </w:t>
      </w:r>
      <w:r w:rsidR="00CF5D95">
        <w:rPr>
          <w:bCs/>
          <w:iCs/>
          <w:lang w:val="en-GB"/>
        </w:rPr>
        <w:t>urged</w:t>
      </w:r>
      <w:r>
        <w:rPr>
          <w:bCs/>
          <w:iCs/>
          <w:vertAlign w:val="superscript"/>
          <w:lang w:val="en-GB"/>
        </w:rPr>
        <w:t xml:space="preserve"> </w:t>
      </w:r>
      <w:r>
        <w:rPr>
          <w:bCs/>
          <w:iCs/>
          <w:lang w:val="en-GB"/>
        </w:rPr>
        <w:t xml:space="preserve">Spain </w:t>
      </w:r>
      <w:r w:rsidRPr="008B45F5">
        <w:rPr>
          <w:bCs/>
          <w:iCs/>
          <w:lang w:val="en-GB"/>
        </w:rPr>
        <w:t>to ensure that the term of limitation effectively com</w:t>
      </w:r>
      <w:r w:rsidR="00FC0699">
        <w:rPr>
          <w:bCs/>
          <w:iCs/>
          <w:lang w:val="en-GB"/>
        </w:rPr>
        <w:t>menced</w:t>
      </w:r>
      <w:r w:rsidRPr="008B45F5">
        <w:rPr>
          <w:bCs/>
          <w:iCs/>
          <w:lang w:val="en-GB"/>
        </w:rPr>
        <w:t xml:space="preserve"> at the moment when</w:t>
      </w:r>
      <w:r w:rsidR="00FC0699">
        <w:rPr>
          <w:bCs/>
          <w:iCs/>
          <w:lang w:val="en-GB"/>
        </w:rPr>
        <w:t xml:space="preserve"> the enforced disappearance ended, that was</w:t>
      </w:r>
      <w:r w:rsidRPr="008B45F5">
        <w:rPr>
          <w:bCs/>
          <w:iCs/>
          <w:lang w:val="en-GB"/>
        </w:rPr>
        <w:t>, until th</w:t>
      </w:r>
      <w:r w:rsidR="00FC0699">
        <w:rPr>
          <w:bCs/>
          <w:iCs/>
          <w:lang w:val="en-GB"/>
        </w:rPr>
        <w:t>e person’s fate or whereabouts were</w:t>
      </w:r>
      <w:r>
        <w:rPr>
          <w:bCs/>
          <w:iCs/>
          <w:lang w:val="en-GB"/>
        </w:rPr>
        <w:t xml:space="preserve"> clarified. It also encouraged</w:t>
      </w:r>
      <w:r w:rsidRPr="008B45F5">
        <w:rPr>
          <w:bCs/>
          <w:iCs/>
          <w:lang w:val="en-GB"/>
        </w:rPr>
        <w:t xml:space="preserve"> </w:t>
      </w:r>
      <w:r>
        <w:rPr>
          <w:bCs/>
          <w:iCs/>
          <w:lang w:val="en-GB"/>
        </w:rPr>
        <w:t xml:space="preserve">Spain </w:t>
      </w:r>
      <w:r w:rsidRPr="008B45F5">
        <w:rPr>
          <w:bCs/>
          <w:iCs/>
          <w:lang w:val="en-GB"/>
        </w:rPr>
        <w:t>to establish expressly in its legal system that the term of limitation for criminal proceedings in cases of e</w:t>
      </w:r>
      <w:r w:rsidR="00FC0699">
        <w:rPr>
          <w:bCs/>
          <w:iCs/>
          <w:lang w:val="en-GB"/>
        </w:rPr>
        <w:t>nforced disappearance had to</w:t>
      </w:r>
      <w:r w:rsidRPr="008B45F5">
        <w:rPr>
          <w:bCs/>
          <w:iCs/>
          <w:lang w:val="en-GB"/>
        </w:rPr>
        <w:t xml:space="preserve"> commence from the</w:t>
      </w:r>
      <w:r>
        <w:rPr>
          <w:bCs/>
          <w:iCs/>
          <w:lang w:val="en-GB"/>
        </w:rPr>
        <w:t xml:space="preserve"> moment when the offence cease</w:t>
      </w:r>
      <w:r w:rsidR="002141FA">
        <w:rPr>
          <w:bCs/>
          <w:iCs/>
          <w:lang w:val="en-GB"/>
        </w:rPr>
        <w:t>d</w:t>
      </w:r>
      <w:r>
        <w:rPr>
          <w:bCs/>
          <w:iCs/>
          <w:lang w:val="en-GB"/>
        </w:rPr>
        <w:t xml:space="preserve">; </w:t>
      </w:r>
      <w:r w:rsidR="00FC0699">
        <w:rPr>
          <w:bCs/>
          <w:iCs/>
          <w:lang w:val="en-GB"/>
        </w:rPr>
        <w:t>to ensure that perpetrators were</w:t>
      </w:r>
      <w:r w:rsidRPr="008B45F5">
        <w:rPr>
          <w:bCs/>
          <w:iCs/>
          <w:lang w:val="en-GB"/>
        </w:rPr>
        <w:t xml:space="preserve"> prosecuted and punished in accordance with the seriousness of their acts;</w:t>
      </w:r>
      <w:r>
        <w:rPr>
          <w:bCs/>
          <w:iCs/>
          <w:lang w:val="en-GB"/>
        </w:rPr>
        <w:t xml:space="preserve"> to </w:t>
      </w:r>
      <w:r w:rsidRPr="008B45F5">
        <w:rPr>
          <w:bCs/>
          <w:iCs/>
          <w:lang w:val="en-GB"/>
        </w:rPr>
        <w:t>ensure that the institutions involved in the investigation of disappea</w:t>
      </w:r>
      <w:r w:rsidR="00FC0699">
        <w:rPr>
          <w:bCs/>
          <w:iCs/>
          <w:lang w:val="en-GB"/>
        </w:rPr>
        <w:t>rances had</w:t>
      </w:r>
      <w:r w:rsidRPr="008B45F5">
        <w:rPr>
          <w:bCs/>
          <w:iCs/>
          <w:lang w:val="en-GB"/>
        </w:rPr>
        <w:t xml:space="preserve"> adequate financial and technical resources and qualified staff; and to ensure that all victi</w:t>
      </w:r>
      <w:r w:rsidR="00FC0699">
        <w:rPr>
          <w:bCs/>
          <w:iCs/>
          <w:lang w:val="en-GB"/>
        </w:rPr>
        <w:t>ms of enforced disappearance could</w:t>
      </w:r>
      <w:r w:rsidRPr="008B45F5">
        <w:rPr>
          <w:bCs/>
          <w:iCs/>
          <w:lang w:val="en-GB"/>
        </w:rPr>
        <w:t xml:space="preserve"> exercise their rights to jus</w:t>
      </w:r>
      <w:r>
        <w:rPr>
          <w:bCs/>
          <w:iCs/>
          <w:lang w:val="en-GB"/>
        </w:rPr>
        <w:t>tice, truth and full reparation (</w:t>
      </w:r>
      <w:hyperlink r:id="rId16" w:history="1">
        <w:r w:rsidRPr="008B45F5">
          <w:rPr>
            <w:rStyle w:val="Hyperlink"/>
            <w:bCs/>
            <w:iCs/>
            <w:lang w:val="en-US"/>
          </w:rPr>
          <w:t>CED/C/ESP/OAI/1</w:t>
        </w:r>
      </w:hyperlink>
      <w:r w:rsidRPr="008B45F5">
        <w:rPr>
          <w:bCs/>
          <w:iCs/>
          <w:lang w:val="en-US"/>
        </w:rPr>
        <w:t>, para</w:t>
      </w:r>
      <w:r w:rsidR="00A31818">
        <w:rPr>
          <w:bCs/>
          <w:iCs/>
          <w:lang w:val="en-US"/>
        </w:rPr>
        <w:t>s.</w:t>
      </w:r>
      <w:r w:rsidRPr="008B45F5">
        <w:rPr>
          <w:bCs/>
          <w:iCs/>
          <w:lang w:val="en-US"/>
        </w:rPr>
        <w:t xml:space="preserve"> </w:t>
      </w:r>
      <w:r>
        <w:rPr>
          <w:bCs/>
          <w:iCs/>
          <w:lang w:val="en-US"/>
        </w:rPr>
        <w:t>1</w:t>
      </w:r>
      <w:r w:rsidRPr="008B45F5">
        <w:rPr>
          <w:bCs/>
          <w:iCs/>
          <w:lang w:val="en-US"/>
        </w:rPr>
        <w:t xml:space="preserve">7, </w:t>
      </w:r>
      <w:r>
        <w:rPr>
          <w:bCs/>
          <w:iCs/>
          <w:lang w:val="en-US"/>
        </w:rPr>
        <w:t>1</w:t>
      </w:r>
      <w:r w:rsidRPr="008B45F5">
        <w:rPr>
          <w:bCs/>
          <w:iCs/>
          <w:lang w:val="en-US"/>
        </w:rPr>
        <w:t>8</w:t>
      </w:r>
      <w:r>
        <w:rPr>
          <w:bCs/>
          <w:iCs/>
          <w:lang w:val="en-US"/>
        </w:rPr>
        <w:t>, 19 (c, d, f)).</w:t>
      </w:r>
    </w:p>
    <w:p w14:paraId="7E0D49E5" w14:textId="5536A1BD" w:rsidR="00035341" w:rsidRPr="00656279" w:rsidRDefault="00512845" w:rsidP="00357876">
      <w:pPr>
        <w:jc w:val="both"/>
        <w:rPr>
          <w:b/>
          <w:bCs/>
          <w:iCs/>
          <w:lang w:val="en-US"/>
        </w:rPr>
      </w:pPr>
      <w:r w:rsidRPr="00656279">
        <w:rPr>
          <w:b/>
          <w:bCs/>
          <w:iCs/>
          <w:lang w:val="en-US"/>
        </w:rPr>
        <w:t>Human rights violations committed during the Civil War and the Franco regime</w:t>
      </w:r>
      <w:r w:rsidR="00656279">
        <w:rPr>
          <w:b/>
          <w:bCs/>
          <w:iCs/>
          <w:lang w:val="en-US"/>
        </w:rPr>
        <w:t xml:space="preserve"> - </w:t>
      </w:r>
      <w:r w:rsidRPr="00512845">
        <w:rPr>
          <w:bCs/>
          <w:iCs/>
          <w:lang w:val="en-US"/>
        </w:rPr>
        <w:t xml:space="preserve">In the report of follow-up on his visits to Spain published in August 2021, the Special Rapporteur on the promotion of truth, justice, reparation and guarantees of non-recurrence </w:t>
      </w:r>
      <w:r>
        <w:rPr>
          <w:bCs/>
          <w:iCs/>
          <w:lang w:val="en-US"/>
        </w:rPr>
        <w:t xml:space="preserve">welcomed </w:t>
      </w:r>
      <w:r w:rsidR="00805321" w:rsidRPr="00512845">
        <w:rPr>
          <w:bCs/>
          <w:iCs/>
          <w:lang w:val="en-US"/>
        </w:rPr>
        <w:t xml:space="preserve">a mechanism to annul convictions and punishment handed down for political, ideological or belief-based reasons by any court or administrative body during the dictatorship </w:t>
      </w:r>
      <w:r w:rsidRPr="00512845">
        <w:rPr>
          <w:bCs/>
          <w:iCs/>
          <w:lang w:val="en-US"/>
        </w:rPr>
        <w:t xml:space="preserve">in </w:t>
      </w:r>
      <w:r w:rsidR="00805321">
        <w:rPr>
          <w:bCs/>
          <w:iCs/>
          <w:lang w:val="en-US"/>
        </w:rPr>
        <w:t>the bill on democratic memory. T</w:t>
      </w:r>
      <w:r w:rsidR="00A31818">
        <w:rPr>
          <w:bCs/>
          <w:iCs/>
          <w:lang w:val="en-US"/>
        </w:rPr>
        <w:t>his annulment was</w:t>
      </w:r>
      <w:r w:rsidRPr="00512845">
        <w:rPr>
          <w:bCs/>
          <w:iCs/>
          <w:lang w:val="en-US"/>
        </w:rPr>
        <w:t xml:space="preserve"> to be executed regardless of the legal justification used to establis</w:t>
      </w:r>
      <w:r w:rsidR="00A31818">
        <w:rPr>
          <w:bCs/>
          <w:iCs/>
          <w:lang w:val="en-US"/>
        </w:rPr>
        <w:t>h such sentences. However, it was regrettable that the bill did</w:t>
      </w:r>
      <w:r w:rsidRPr="00512845">
        <w:rPr>
          <w:bCs/>
          <w:iCs/>
          <w:lang w:val="en-US"/>
        </w:rPr>
        <w:t xml:space="preserve"> not provide for any economic liability on </w:t>
      </w:r>
      <w:r>
        <w:rPr>
          <w:bCs/>
          <w:iCs/>
          <w:lang w:val="en-US"/>
        </w:rPr>
        <w:t xml:space="preserve">Spain </w:t>
      </w:r>
      <w:r w:rsidRPr="00512845">
        <w:rPr>
          <w:bCs/>
          <w:iCs/>
          <w:lang w:val="en-US"/>
        </w:rPr>
        <w:t>regarding the reparations owed to those wrongf</w:t>
      </w:r>
      <w:r w:rsidR="00A31818">
        <w:rPr>
          <w:bCs/>
          <w:iCs/>
          <w:lang w:val="en-US"/>
        </w:rPr>
        <w:t>ully convicted. This contravened</w:t>
      </w:r>
      <w:r w:rsidRPr="00512845">
        <w:rPr>
          <w:bCs/>
          <w:iCs/>
          <w:lang w:val="en-US"/>
        </w:rPr>
        <w:t xml:space="preserve"> international standards on the obligation to provide full reparation to victims</w:t>
      </w:r>
      <w:r>
        <w:rPr>
          <w:bCs/>
          <w:iCs/>
          <w:lang w:val="en-US"/>
        </w:rPr>
        <w:t>. He also noted that his recommendation to c</w:t>
      </w:r>
      <w:r w:rsidR="00805321">
        <w:rPr>
          <w:bCs/>
          <w:iCs/>
          <w:lang w:val="en-US"/>
        </w:rPr>
        <w:t xml:space="preserve">onsider alternatives </w:t>
      </w:r>
      <w:r w:rsidRPr="00512845">
        <w:rPr>
          <w:bCs/>
          <w:iCs/>
          <w:lang w:val="en-US"/>
        </w:rPr>
        <w:t>and annul the effects of the amnesty act that impede</w:t>
      </w:r>
      <w:r w:rsidR="00805321">
        <w:rPr>
          <w:bCs/>
          <w:iCs/>
          <w:lang w:val="en-US"/>
        </w:rPr>
        <w:t>d</w:t>
      </w:r>
      <w:r w:rsidRPr="00512845">
        <w:rPr>
          <w:bCs/>
          <w:iCs/>
          <w:lang w:val="en-US"/>
        </w:rPr>
        <w:t xml:space="preserve"> all investigations and access to justice with respect to the serious human rights violations committed during the Civil War and the Franco regime </w:t>
      </w:r>
      <w:r w:rsidR="00A31818">
        <w:rPr>
          <w:bCs/>
          <w:iCs/>
          <w:lang w:val="en-US"/>
        </w:rPr>
        <w:t>was</w:t>
      </w:r>
      <w:r>
        <w:rPr>
          <w:bCs/>
          <w:iCs/>
          <w:lang w:val="en-US"/>
        </w:rPr>
        <w:t xml:space="preserve"> yet to be implemented. </w:t>
      </w:r>
      <w:r w:rsidR="00656279">
        <w:rPr>
          <w:bCs/>
          <w:iCs/>
          <w:lang w:val="en-US"/>
        </w:rPr>
        <w:t>He</w:t>
      </w:r>
      <w:r w:rsidR="00A31818">
        <w:rPr>
          <w:bCs/>
          <w:iCs/>
          <w:lang w:val="en-US"/>
        </w:rPr>
        <w:t xml:space="preserve"> noted that t</w:t>
      </w:r>
      <w:r w:rsidRPr="00512845">
        <w:rPr>
          <w:bCs/>
          <w:iCs/>
          <w:lang w:val="en-US"/>
        </w:rPr>
        <w:t>he</w:t>
      </w:r>
      <w:r w:rsidR="00A31818">
        <w:rPr>
          <w:bCs/>
          <w:iCs/>
          <w:lang w:val="en-US"/>
        </w:rPr>
        <w:t xml:space="preserve"> bill on democratic memory sought</w:t>
      </w:r>
      <w:r w:rsidRPr="00512845">
        <w:rPr>
          <w:bCs/>
          <w:iCs/>
          <w:lang w:val="en-US"/>
        </w:rPr>
        <w:t xml:space="preserve"> to provide alternatives to annulling the effects of the </w:t>
      </w:r>
      <w:r w:rsidR="005D47B6">
        <w:rPr>
          <w:bCs/>
          <w:iCs/>
          <w:lang w:val="en-US"/>
        </w:rPr>
        <w:t>A</w:t>
      </w:r>
      <w:r w:rsidRPr="00512845">
        <w:rPr>
          <w:bCs/>
          <w:iCs/>
          <w:lang w:val="en-US"/>
        </w:rPr>
        <w:t xml:space="preserve">mnesty </w:t>
      </w:r>
      <w:r w:rsidR="005D47B6">
        <w:rPr>
          <w:bCs/>
          <w:iCs/>
          <w:lang w:val="en-US"/>
        </w:rPr>
        <w:t>A</w:t>
      </w:r>
      <w:r w:rsidR="00805321">
        <w:rPr>
          <w:bCs/>
          <w:iCs/>
          <w:lang w:val="en-US"/>
        </w:rPr>
        <w:t xml:space="preserve">ct. Spain’s </w:t>
      </w:r>
      <w:r w:rsidR="00A31818">
        <w:rPr>
          <w:bCs/>
          <w:iCs/>
          <w:lang w:val="en-US"/>
        </w:rPr>
        <w:t xml:space="preserve">position was that the </w:t>
      </w:r>
      <w:r w:rsidR="005D47B6">
        <w:rPr>
          <w:bCs/>
          <w:iCs/>
          <w:lang w:val="en-US"/>
        </w:rPr>
        <w:t>A</w:t>
      </w:r>
      <w:r w:rsidR="00A31818">
        <w:rPr>
          <w:bCs/>
          <w:iCs/>
          <w:lang w:val="en-US"/>
        </w:rPr>
        <w:t xml:space="preserve">mnesty </w:t>
      </w:r>
      <w:r w:rsidR="005D47B6">
        <w:rPr>
          <w:bCs/>
          <w:iCs/>
          <w:lang w:val="en-US"/>
        </w:rPr>
        <w:t>A</w:t>
      </w:r>
      <w:r w:rsidR="00A31818">
        <w:rPr>
          <w:bCs/>
          <w:iCs/>
          <w:lang w:val="en-US"/>
        </w:rPr>
        <w:t>ct was</w:t>
      </w:r>
      <w:r w:rsidRPr="00512845">
        <w:rPr>
          <w:bCs/>
          <w:iCs/>
          <w:lang w:val="en-US"/>
        </w:rPr>
        <w:t xml:space="preserve"> not an obstacle to investigating past vi</w:t>
      </w:r>
      <w:r w:rsidR="00A31818">
        <w:rPr>
          <w:bCs/>
          <w:iCs/>
          <w:lang w:val="en-US"/>
        </w:rPr>
        <w:t>olations, thus the bill provided</w:t>
      </w:r>
      <w:r w:rsidRPr="00512845">
        <w:rPr>
          <w:bCs/>
          <w:iCs/>
          <w:lang w:val="en-US"/>
        </w:rPr>
        <w:t xml:space="preserve"> for the creation of a public prosecutor’s office specialized in democratic memory </w:t>
      </w:r>
      <w:r w:rsidR="00A31818">
        <w:rPr>
          <w:bCs/>
          <w:iCs/>
          <w:lang w:val="en-US"/>
        </w:rPr>
        <w:t>and human rights. It was still unclear how this would</w:t>
      </w:r>
      <w:r w:rsidRPr="00512845">
        <w:rPr>
          <w:bCs/>
          <w:iCs/>
          <w:lang w:val="en-US"/>
        </w:rPr>
        <w:t xml:space="preserve"> remove the obstacles </w:t>
      </w:r>
      <w:r w:rsidR="00A31818">
        <w:rPr>
          <w:bCs/>
          <w:iCs/>
          <w:lang w:val="en-US"/>
        </w:rPr>
        <w:t xml:space="preserve">that the </w:t>
      </w:r>
      <w:r w:rsidR="00B513E2">
        <w:rPr>
          <w:bCs/>
          <w:iCs/>
          <w:lang w:val="en-US"/>
        </w:rPr>
        <w:t>A</w:t>
      </w:r>
      <w:r w:rsidR="00A31818">
        <w:rPr>
          <w:bCs/>
          <w:iCs/>
          <w:lang w:val="en-US"/>
        </w:rPr>
        <w:t xml:space="preserve">mnesty </w:t>
      </w:r>
      <w:r w:rsidR="00B513E2">
        <w:rPr>
          <w:bCs/>
          <w:iCs/>
          <w:lang w:val="en-US"/>
        </w:rPr>
        <w:t>A</w:t>
      </w:r>
      <w:r w:rsidR="00A31818">
        <w:rPr>
          <w:bCs/>
          <w:iCs/>
          <w:lang w:val="en-US"/>
        </w:rPr>
        <w:t>ct still posed</w:t>
      </w:r>
      <w:r w:rsidRPr="00512845">
        <w:rPr>
          <w:bCs/>
          <w:iCs/>
          <w:lang w:val="en-US"/>
        </w:rPr>
        <w:t xml:space="preserve"> to effective investigation, prosecution and </w:t>
      </w:r>
      <w:r>
        <w:rPr>
          <w:bCs/>
          <w:iCs/>
          <w:lang w:val="en-US"/>
        </w:rPr>
        <w:t xml:space="preserve">punishment for those violations </w:t>
      </w:r>
      <w:r w:rsidRPr="00512845">
        <w:rPr>
          <w:bCs/>
          <w:iCs/>
          <w:lang w:val="en-US"/>
        </w:rPr>
        <w:t>(</w:t>
      </w:r>
      <w:hyperlink r:id="rId17" w:history="1">
        <w:r w:rsidRPr="00512845">
          <w:rPr>
            <w:rStyle w:val="Hyperlink"/>
            <w:bCs/>
            <w:iCs/>
            <w:lang w:val="en-US"/>
          </w:rPr>
          <w:t>A/HRC/48/60/Add.1</w:t>
        </w:r>
      </w:hyperlink>
      <w:r w:rsidRPr="00512845">
        <w:rPr>
          <w:bCs/>
          <w:iCs/>
          <w:lang w:val="en-US"/>
        </w:rPr>
        <w:t>).</w:t>
      </w:r>
    </w:p>
    <w:p w14:paraId="79AD8ACC" w14:textId="0B6AEAAE" w:rsidR="001B7CA2" w:rsidRPr="001B7CA2" w:rsidRDefault="001B7CA2" w:rsidP="001B7CA2">
      <w:pPr>
        <w:rPr>
          <w:lang w:val="en-GB"/>
        </w:rPr>
      </w:pPr>
      <w:r w:rsidRPr="001B7CA2">
        <w:rPr>
          <w:b/>
          <w:bCs/>
          <w:lang w:val="en-GB"/>
        </w:rPr>
        <w:t xml:space="preserve">II. Anti-corruption framework </w:t>
      </w:r>
    </w:p>
    <w:p w14:paraId="08DC67FF" w14:textId="40A02C17" w:rsidR="001B7CA2" w:rsidRPr="001B7CA2" w:rsidRDefault="001B7CA2" w:rsidP="001B7CA2">
      <w:pPr>
        <w:rPr>
          <w:lang w:val="en-GB"/>
        </w:rPr>
      </w:pPr>
      <w:r w:rsidRPr="001B7CA2">
        <w:rPr>
          <w:b/>
          <w:bCs/>
          <w:i/>
          <w:iCs/>
          <w:lang w:val="en-GB"/>
        </w:rPr>
        <w:t xml:space="preserve">B. Prevention </w:t>
      </w:r>
    </w:p>
    <w:p w14:paraId="20FDC079" w14:textId="174227E4" w:rsidR="001B7CA2" w:rsidRDefault="001B7CA2" w:rsidP="001B7CA2">
      <w:pPr>
        <w:rPr>
          <w:i/>
          <w:iCs/>
          <w:lang w:val="en-GB"/>
        </w:rPr>
      </w:pPr>
      <w:r w:rsidRPr="001B7CA2">
        <w:rPr>
          <w:i/>
          <w:iCs/>
          <w:lang w:val="en-GB"/>
        </w:rPr>
        <w:t>2</w:t>
      </w:r>
      <w:r w:rsidR="00102288">
        <w:rPr>
          <w:i/>
          <w:iCs/>
          <w:lang w:val="en-GB"/>
        </w:rPr>
        <w:t>6</w:t>
      </w:r>
      <w:r w:rsidRPr="001B7CA2">
        <w:rPr>
          <w:i/>
          <w:iCs/>
          <w:lang w:val="en-GB"/>
        </w:rPr>
        <w:t xml:space="preserve">. Measures taken to address corruption risks in the context of the COVID-19 pandemic. </w:t>
      </w:r>
    </w:p>
    <w:p w14:paraId="60010E53" w14:textId="15440827" w:rsidR="00925788" w:rsidRPr="00805321" w:rsidRDefault="00925788" w:rsidP="00805321">
      <w:pPr>
        <w:jc w:val="both"/>
        <w:rPr>
          <w:iCs/>
          <w:lang w:val="en-US"/>
        </w:rPr>
      </w:pPr>
      <w:r w:rsidRPr="00925788">
        <w:rPr>
          <w:iCs/>
          <w:lang w:val="en-US"/>
        </w:rPr>
        <w:t>In April 2021, the Special Rapporteur on the independence of judges and lawyers in his report on “The coronavirus disease (COVID-19) pandemic: impact and challenges for independent justice” indicated that the President of the Council of Europe Group of States against Corruption had warned Spain in October 2020 that the reforms planned by the Government as part of a restructuring of the General Council of the Judiciary in the context of the pandemic might violate anti-corrupt</w:t>
      </w:r>
      <w:r w:rsidR="00DD14DE">
        <w:rPr>
          <w:iCs/>
          <w:lang w:val="en-US"/>
        </w:rPr>
        <w:t xml:space="preserve">ion standards, and </w:t>
      </w:r>
      <w:r w:rsidRPr="00925788">
        <w:rPr>
          <w:iCs/>
          <w:lang w:val="en-US"/>
        </w:rPr>
        <w:t>advised that the restructuring should be carried out in a more concerted manner in which judicial associat</w:t>
      </w:r>
      <w:r>
        <w:rPr>
          <w:iCs/>
          <w:lang w:val="en-US"/>
        </w:rPr>
        <w:t xml:space="preserve">ions were more closely involved </w:t>
      </w:r>
      <w:r w:rsidRPr="00925788">
        <w:rPr>
          <w:iCs/>
          <w:lang w:val="en-US"/>
        </w:rPr>
        <w:t>(</w:t>
      </w:r>
      <w:hyperlink r:id="rId18" w:history="1">
        <w:r w:rsidRPr="00925788">
          <w:rPr>
            <w:rStyle w:val="Hyperlink"/>
            <w:iCs/>
            <w:lang w:val="en-US"/>
          </w:rPr>
          <w:t>A/HRC/47/35</w:t>
        </w:r>
      </w:hyperlink>
      <w:r w:rsidRPr="00925788">
        <w:rPr>
          <w:iCs/>
          <w:lang w:val="en-US"/>
        </w:rPr>
        <w:t>, para</w:t>
      </w:r>
      <w:r>
        <w:rPr>
          <w:iCs/>
          <w:lang w:val="en-US"/>
        </w:rPr>
        <w:t>.</w:t>
      </w:r>
      <w:r w:rsidRPr="00925788">
        <w:rPr>
          <w:iCs/>
          <w:lang w:val="en-US"/>
        </w:rPr>
        <w:t xml:space="preserve"> 28)</w:t>
      </w:r>
      <w:r>
        <w:rPr>
          <w:iCs/>
          <w:lang w:val="en-US"/>
        </w:rPr>
        <w:t>.</w:t>
      </w:r>
    </w:p>
    <w:p w14:paraId="05D01B93" w14:textId="77777777" w:rsidR="00805321" w:rsidRDefault="00805321" w:rsidP="001B7CA2">
      <w:pPr>
        <w:rPr>
          <w:b/>
          <w:bCs/>
          <w:lang w:val="en-GB"/>
        </w:rPr>
      </w:pPr>
    </w:p>
    <w:p w14:paraId="1FF31C51" w14:textId="77777777" w:rsidR="00805321" w:rsidRDefault="00805321" w:rsidP="001B7CA2">
      <w:pPr>
        <w:rPr>
          <w:b/>
          <w:bCs/>
          <w:lang w:val="en-GB"/>
        </w:rPr>
      </w:pPr>
    </w:p>
    <w:p w14:paraId="2E14750F" w14:textId="77777777" w:rsidR="00805321" w:rsidRDefault="00805321" w:rsidP="001B7CA2">
      <w:pPr>
        <w:rPr>
          <w:b/>
          <w:bCs/>
          <w:lang w:val="en-GB"/>
        </w:rPr>
      </w:pPr>
    </w:p>
    <w:p w14:paraId="4549756E" w14:textId="77777777" w:rsidR="00805321" w:rsidRDefault="00805321" w:rsidP="001B7CA2">
      <w:pPr>
        <w:rPr>
          <w:b/>
          <w:bCs/>
          <w:lang w:val="en-GB"/>
        </w:rPr>
      </w:pPr>
    </w:p>
    <w:p w14:paraId="6AC1EDE9" w14:textId="4463D75A" w:rsidR="001B7CA2" w:rsidRPr="001B7CA2" w:rsidRDefault="001B7CA2" w:rsidP="001B7CA2">
      <w:pPr>
        <w:rPr>
          <w:lang w:val="en-GB"/>
        </w:rPr>
      </w:pPr>
      <w:r w:rsidRPr="001B7CA2">
        <w:rPr>
          <w:b/>
          <w:bCs/>
          <w:lang w:val="en-GB"/>
        </w:rPr>
        <w:lastRenderedPageBreak/>
        <w:t xml:space="preserve">.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52CD9F57" w14:textId="2EAE1321" w:rsidR="001B7CA2" w:rsidRPr="001B7CA2" w:rsidRDefault="001B7CA2" w:rsidP="001B7CA2">
      <w:pPr>
        <w:rPr>
          <w:lang w:val="en-GB"/>
        </w:rPr>
      </w:pPr>
      <w:r w:rsidRPr="001B7CA2">
        <w:rPr>
          <w:i/>
          <w:iCs/>
          <w:lang w:val="en-GB"/>
        </w:rPr>
        <w:t>4</w:t>
      </w:r>
      <w:r w:rsidR="00DC49B7">
        <w:rPr>
          <w:i/>
          <w:iCs/>
          <w:lang w:val="en-GB"/>
        </w:rPr>
        <w:t>2</w:t>
      </w:r>
      <w:r w:rsidRPr="001B7CA2">
        <w:rPr>
          <w:i/>
          <w:iCs/>
          <w:lang w:val="en-GB"/>
        </w:rPr>
        <w:t xml:space="preserve">. COVID-19: provide update on significant developments with regard to emergency regimes in the context of the COVID-19 pandemic </w:t>
      </w:r>
    </w:p>
    <w:p w14:paraId="3566BDE6" w14:textId="0EB302CA" w:rsidR="001B7CA2" w:rsidRDefault="001B7CA2" w:rsidP="001B7CA2">
      <w:pPr>
        <w:rPr>
          <w:i/>
          <w:iCs/>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047EBB54" w14:textId="161C1D20" w:rsidR="00061F28" w:rsidRPr="008171AA" w:rsidRDefault="00061F28" w:rsidP="008171AA">
      <w:pPr>
        <w:jc w:val="both"/>
        <w:rPr>
          <w:iCs/>
          <w:lang w:val="en-US"/>
        </w:rPr>
      </w:pPr>
      <w:r w:rsidRPr="00061F28">
        <w:rPr>
          <w:iCs/>
          <w:lang w:val="en-US"/>
        </w:rPr>
        <w:t>In April 2021, the Special Rapporteur on the independence of judges and lawyers in his report on “The coronavirus disease (COVID-19) pandemic: impact and challenges for independent justice” noted that the emergency measures taken with regard to the Covid-19 pandemic had impacted the judiciary. Complications arose as the Government closed the courts and only urgent cases were processed without prior consultation of judicial bodies. Because of the difficulties that arose, the measures had to be adjusted, th</w:t>
      </w:r>
      <w:r>
        <w:rPr>
          <w:iCs/>
          <w:lang w:val="en-US"/>
        </w:rPr>
        <w:t xml:space="preserve">is time after due consultation </w:t>
      </w:r>
      <w:r w:rsidRPr="00061F28">
        <w:rPr>
          <w:iCs/>
          <w:lang w:val="en-US"/>
        </w:rPr>
        <w:t>(</w:t>
      </w:r>
      <w:hyperlink r:id="rId19" w:history="1">
        <w:r w:rsidR="00C9439A" w:rsidRPr="00C9439A">
          <w:rPr>
            <w:rStyle w:val="Hyperlink"/>
            <w:iCs/>
            <w:lang w:val="en-US"/>
          </w:rPr>
          <w:t>A/HRC/47/35</w:t>
        </w:r>
      </w:hyperlink>
      <w:r>
        <w:rPr>
          <w:iCs/>
          <w:lang w:val="en-US"/>
        </w:rPr>
        <w:t>, p</w:t>
      </w:r>
      <w:r w:rsidRPr="00061F28">
        <w:rPr>
          <w:iCs/>
          <w:lang w:val="en-US"/>
        </w:rPr>
        <w:t>ara. 13)</w:t>
      </w:r>
      <w:r>
        <w:rPr>
          <w:iCs/>
          <w:lang w:val="en-US"/>
        </w:rPr>
        <w:t>.</w:t>
      </w:r>
      <w:r w:rsidRPr="00061F28">
        <w:rPr>
          <w:iCs/>
          <w:lang w:val="en-US"/>
        </w:rPr>
        <w:t xml:space="preserve"> </w:t>
      </w:r>
    </w:p>
    <w:p w14:paraId="19F29770" w14:textId="75257171" w:rsidR="00DC45F4" w:rsidRDefault="00DC45F4" w:rsidP="00DC45F4">
      <w:pPr>
        <w:pStyle w:val="Header"/>
        <w:jc w:val="both"/>
        <w:rPr>
          <w:lang w:val="en-US"/>
        </w:rPr>
      </w:pPr>
    </w:p>
    <w:p w14:paraId="387DE0C1" w14:textId="77777777" w:rsidR="00DC45F4" w:rsidRPr="00DC45F4" w:rsidRDefault="00DC45F4" w:rsidP="00DC45F4">
      <w:pPr>
        <w:pStyle w:val="Header"/>
        <w:jc w:val="both"/>
        <w:rPr>
          <w:lang w:val="en-US"/>
        </w:rPr>
      </w:pPr>
    </w:p>
    <w:p w14:paraId="2672F438" w14:textId="52907963" w:rsidR="00DC45F4" w:rsidRPr="00DC45F4" w:rsidRDefault="00DC45F4" w:rsidP="00DC45F4">
      <w:pPr>
        <w:pStyle w:val="Header"/>
        <w:jc w:val="both"/>
        <w:rPr>
          <w:lang w:val="en-US"/>
        </w:rPr>
      </w:pPr>
    </w:p>
    <w:p w14:paraId="5DCCC7FF" w14:textId="2F821993" w:rsidR="00E732E5" w:rsidRPr="00E732E5" w:rsidRDefault="00E732E5" w:rsidP="00DC45F4">
      <w:pPr>
        <w:pStyle w:val="Header"/>
        <w:jc w:val="both"/>
        <w:rPr>
          <w:lang w:val="en-US"/>
        </w:rPr>
      </w:pPr>
    </w:p>
    <w:p w14:paraId="2BB2DCBD" w14:textId="174595C7" w:rsidR="00E87A2E" w:rsidRPr="00E732E5" w:rsidRDefault="00E87A2E" w:rsidP="00E87A2E">
      <w:pPr>
        <w:pStyle w:val="Header"/>
        <w:rPr>
          <w:lang w:val="en-US"/>
        </w:rPr>
      </w:pPr>
    </w:p>
    <w:p w14:paraId="7E55338D" w14:textId="77777777" w:rsidR="001B7CA2" w:rsidRPr="00E87A2E" w:rsidRDefault="001B7CA2" w:rsidP="00E75F98">
      <w:pPr>
        <w:jc w:val="both"/>
        <w:rPr>
          <w:rFonts w:cstheme="minorHAnsi"/>
          <w:lang w:val="en-US"/>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20"/>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186" w16cex:dateUtc="2022-03-07T17:46:00Z"/>
  <w16cex:commentExtensible w16cex:durableId="25D0D1F5" w16cex:dateUtc="2022-03-07T17:48:00Z"/>
  <w16cex:commentExtensible w16cex:durableId="25D0D355" w16cex:dateUtc="2022-03-07T1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93D4ED" w16cid:durableId="25D0D186"/>
  <w16cid:commentId w16cid:paraId="5D11A491" w16cid:durableId="25D0D1F5"/>
  <w16cid:commentId w16cid:paraId="2B152484" w16cid:durableId="25D0D3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20B5E" w14:textId="77777777" w:rsidR="00754CB7" w:rsidRDefault="00754CB7" w:rsidP="00AB6BD8">
      <w:pPr>
        <w:spacing w:after="0" w:line="240" w:lineRule="auto"/>
      </w:pPr>
      <w:r>
        <w:separator/>
      </w:r>
    </w:p>
  </w:endnote>
  <w:endnote w:type="continuationSeparator" w:id="0">
    <w:p w14:paraId="1CEC30C2" w14:textId="77777777" w:rsidR="00754CB7" w:rsidRDefault="00754CB7"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41AC85C1" w:rsidR="00ED7A10" w:rsidRDefault="00ED7A10">
        <w:pPr>
          <w:pStyle w:val="Footer"/>
          <w:jc w:val="center"/>
        </w:pPr>
        <w:r>
          <w:fldChar w:fldCharType="begin"/>
        </w:r>
        <w:r>
          <w:instrText>PAGE   \* MERGEFORMAT</w:instrText>
        </w:r>
        <w:r>
          <w:fldChar w:fldCharType="separate"/>
        </w:r>
        <w:r w:rsidR="003C2076" w:rsidRPr="003C2076">
          <w:rPr>
            <w:noProof/>
            <w:lang w:val="fr-FR"/>
          </w:rPr>
          <w:t>1</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31181" w14:textId="77777777" w:rsidR="00754CB7" w:rsidRDefault="00754CB7" w:rsidP="00AB6BD8">
      <w:pPr>
        <w:spacing w:after="0" w:line="240" w:lineRule="auto"/>
      </w:pPr>
      <w:r>
        <w:separator/>
      </w:r>
    </w:p>
  </w:footnote>
  <w:footnote w:type="continuationSeparator" w:id="0">
    <w:p w14:paraId="223980EB" w14:textId="77777777" w:rsidR="00754CB7" w:rsidRDefault="00754CB7"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fr-FR" w:vendorID="64" w:dllVersion="4096" w:nlCheck="1" w:checkStyle="0"/>
  <w:activeWritingStyle w:appName="MSWord" w:lang="es-ES"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014DD"/>
    <w:rsid w:val="0002213A"/>
    <w:rsid w:val="00024911"/>
    <w:rsid w:val="00035341"/>
    <w:rsid w:val="000555C4"/>
    <w:rsid w:val="00061F28"/>
    <w:rsid w:val="00094650"/>
    <w:rsid w:val="000B034D"/>
    <w:rsid w:val="000C26A1"/>
    <w:rsid w:val="000D06BF"/>
    <w:rsid w:val="000E3E0A"/>
    <w:rsid w:val="000E4ACA"/>
    <w:rsid w:val="000E4D1E"/>
    <w:rsid w:val="000E58CC"/>
    <w:rsid w:val="000F7447"/>
    <w:rsid w:val="000F74F4"/>
    <w:rsid w:val="0010207F"/>
    <w:rsid w:val="00102288"/>
    <w:rsid w:val="00125B2C"/>
    <w:rsid w:val="00137F92"/>
    <w:rsid w:val="00144770"/>
    <w:rsid w:val="00147BF9"/>
    <w:rsid w:val="0015004A"/>
    <w:rsid w:val="00152098"/>
    <w:rsid w:val="00165AFF"/>
    <w:rsid w:val="00180CF1"/>
    <w:rsid w:val="001868E0"/>
    <w:rsid w:val="00195595"/>
    <w:rsid w:val="001A17C6"/>
    <w:rsid w:val="001B7CA2"/>
    <w:rsid w:val="001C79A2"/>
    <w:rsid w:val="001C7CCF"/>
    <w:rsid w:val="001E08DC"/>
    <w:rsid w:val="001E0C79"/>
    <w:rsid w:val="001E2105"/>
    <w:rsid w:val="002057FA"/>
    <w:rsid w:val="00206A47"/>
    <w:rsid w:val="002110B8"/>
    <w:rsid w:val="002141FA"/>
    <w:rsid w:val="00221C79"/>
    <w:rsid w:val="00231F28"/>
    <w:rsid w:val="00235A91"/>
    <w:rsid w:val="002430D2"/>
    <w:rsid w:val="0024664D"/>
    <w:rsid w:val="00251082"/>
    <w:rsid w:val="00252C8E"/>
    <w:rsid w:val="00252E26"/>
    <w:rsid w:val="002668EA"/>
    <w:rsid w:val="00275AE3"/>
    <w:rsid w:val="00293C29"/>
    <w:rsid w:val="00294805"/>
    <w:rsid w:val="002953FF"/>
    <w:rsid w:val="002969C5"/>
    <w:rsid w:val="002C15AB"/>
    <w:rsid w:val="002C4AD7"/>
    <w:rsid w:val="002D45D1"/>
    <w:rsid w:val="002E68D2"/>
    <w:rsid w:val="0030165D"/>
    <w:rsid w:val="00332747"/>
    <w:rsid w:val="00334386"/>
    <w:rsid w:val="00357876"/>
    <w:rsid w:val="003619BB"/>
    <w:rsid w:val="00364DD8"/>
    <w:rsid w:val="00383787"/>
    <w:rsid w:val="003843E1"/>
    <w:rsid w:val="0038485A"/>
    <w:rsid w:val="003A7FEF"/>
    <w:rsid w:val="003B4F07"/>
    <w:rsid w:val="003C2076"/>
    <w:rsid w:val="003D7999"/>
    <w:rsid w:val="003F19B1"/>
    <w:rsid w:val="00405880"/>
    <w:rsid w:val="00410982"/>
    <w:rsid w:val="00445679"/>
    <w:rsid w:val="00447DF5"/>
    <w:rsid w:val="00451BE5"/>
    <w:rsid w:val="00462100"/>
    <w:rsid w:val="00462D5E"/>
    <w:rsid w:val="004753B7"/>
    <w:rsid w:val="004809CC"/>
    <w:rsid w:val="00491A44"/>
    <w:rsid w:val="004A0573"/>
    <w:rsid w:val="004A4D25"/>
    <w:rsid w:val="004B3154"/>
    <w:rsid w:val="004B60DD"/>
    <w:rsid w:val="004C0B1F"/>
    <w:rsid w:val="004D374D"/>
    <w:rsid w:val="004E2A0C"/>
    <w:rsid w:val="004E5D2F"/>
    <w:rsid w:val="005078D2"/>
    <w:rsid w:val="00512845"/>
    <w:rsid w:val="00541C52"/>
    <w:rsid w:val="00561741"/>
    <w:rsid w:val="00572CAC"/>
    <w:rsid w:val="00572D29"/>
    <w:rsid w:val="00576122"/>
    <w:rsid w:val="00592F7B"/>
    <w:rsid w:val="005936DA"/>
    <w:rsid w:val="00595A34"/>
    <w:rsid w:val="005A53B1"/>
    <w:rsid w:val="005B2F94"/>
    <w:rsid w:val="005C4199"/>
    <w:rsid w:val="005D47B6"/>
    <w:rsid w:val="00600F16"/>
    <w:rsid w:val="00605A93"/>
    <w:rsid w:val="0061181D"/>
    <w:rsid w:val="00621476"/>
    <w:rsid w:val="00633DEB"/>
    <w:rsid w:val="0064596A"/>
    <w:rsid w:val="00656276"/>
    <w:rsid w:val="00656279"/>
    <w:rsid w:val="0066480F"/>
    <w:rsid w:val="00694C36"/>
    <w:rsid w:val="006B2EEF"/>
    <w:rsid w:val="006C7519"/>
    <w:rsid w:val="006F10BF"/>
    <w:rsid w:val="00726393"/>
    <w:rsid w:val="00735997"/>
    <w:rsid w:val="0074007C"/>
    <w:rsid w:val="007467E2"/>
    <w:rsid w:val="00753FA0"/>
    <w:rsid w:val="00754CB7"/>
    <w:rsid w:val="0079724B"/>
    <w:rsid w:val="007C4914"/>
    <w:rsid w:val="007D7490"/>
    <w:rsid w:val="007F1F30"/>
    <w:rsid w:val="007F529E"/>
    <w:rsid w:val="0080379C"/>
    <w:rsid w:val="00805321"/>
    <w:rsid w:val="00805721"/>
    <w:rsid w:val="00812CA6"/>
    <w:rsid w:val="00815599"/>
    <w:rsid w:val="008171AA"/>
    <w:rsid w:val="00820269"/>
    <w:rsid w:val="00824724"/>
    <w:rsid w:val="0083739F"/>
    <w:rsid w:val="008526FE"/>
    <w:rsid w:val="00857F94"/>
    <w:rsid w:val="008628EF"/>
    <w:rsid w:val="00867498"/>
    <w:rsid w:val="00867CBB"/>
    <w:rsid w:val="0088139C"/>
    <w:rsid w:val="008A1B74"/>
    <w:rsid w:val="008A7229"/>
    <w:rsid w:val="008B45F5"/>
    <w:rsid w:val="008B50CB"/>
    <w:rsid w:val="008B5DE9"/>
    <w:rsid w:val="008C4411"/>
    <w:rsid w:val="008C7A94"/>
    <w:rsid w:val="008D7F8C"/>
    <w:rsid w:val="008E4FD7"/>
    <w:rsid w:val="008E537C"/>
    <w:rsid w:val="008F5F0F"/>
    <w:rsid w:val="008F689A"/>
    <w:rsid w:val="00911A81"/>
    <w:rsid w:val="00916B8E"/>
    <w:rsid w:val="00923EBE"/>
    <w:rsid w:val="00925788"/>
    <w:rsid w:val="00931475"/>
    <w:rsid w:val="009441AD"/>
    <w:rsid w:val="00951DEB"/>
    <w:rsid w:val="00952884"/>
    <w:rsid w:val="00962913"/>
    <w:rsid w:val="0096772C"/>
    <w:rsid w:val="00991323"/>
    <w:rsid w:val="00997215"/>
    <w:rsid w:val="009C040C"/>
    <w:rsid w:val="009C5F8D"/>
    <w:rsid w:val="009C6B9F"/>
    <w:rsid w:val="009D1508"/>
    <w:rsid w:val="009E2F9E"/>
    <w:rsid w:val="009E48E9"/>
    <w:rsid w:val="00A1060B"/>
    <w:rsid w:val="00A118BB"/>
    <w:rsid w:val="00A2011E"/>
    <w:rsid w:val="00A31818"/>
    <w:rsid w:val="00A33884"/>
    <w:rsid w:val="00A8576F"/>
    <w:rsid w:val="00A95DE7"/>
    <w:rsid w:val="00AB39DD"/>
    <w:rsid w:val="00AB4073"/>
    <w:rsid w:val="00AB6BD8"/>
    <w:rsid w:val="00AD14BD"/>
    <w:rsid w:val="00AD5BC2"/>
    <w:rsid w:val="00AE13F5"/>
    <w:rsid w:val="00AE6CEF"/>
    <w:rsid w:val="00AF33F6"/>
    <w:rsid w:val="00AF4734"/>
    <w:rsid w:val="00AF6778"/>
    <w:rsid w:val="00B06121"/>
    <w:rsid w:val="00B1077E"/>
    <w:rsid w:val="00B16D15"/>
    <w:rsid w:val="00B3376B"/>
    <w:rsid w:val="00B4482C"/>
    <w:rsid w:val="00B513E2"/>
    <w:rsid w:val="00B54E3F"/>
    <w:rsid w:val="00B669A0"/>
    <w:rsid w:val="00B66B51"/>
    <w:rsid w:val="00B837B5"/>
    <w:rsid w:val="00B8626C"/>
    <w:rsid w:val="00B92E78"/>
    <w:rsid w:val="00B94426"/>
    <w:rsid w:val="00B95809"/>
    <w:rsid w:val="00BB67D7"/>
    <w:rsid w:val="00BC1D9A"/>
    <w:rsid w:val="00BE06C4"/>
    <w:rsid w:val="00BF199A"/>
    <w:rsid w:val="00C206C5"/>
    <w:rsid w:val="00C21B69"/>
    <w:rsid w:val="00C25048"/>
    <w:rsid w:val="00C34944"/>
    <w:rsid w:val="00C357C2"/>
    <w:rsid w:val="00C46DCD"/>
    <w:rsid w:val="00C5007B"/>
    <w:rsid w:val="00C91D1B"/>
    <w:rsid w:val="00C9439A"/>
    <w:rsid w:val="00CB73BB"/>
    <w:rsid w:val="00CC6B37"/>
    <w:rsid w:val="00CD1815"/>
    <w:rsid w:val="00CD7A88"/>
    <w:rsid w:val="00CE4C75"/>
    <w:rsid w:val="00CF5D95"/>
    <w:rsid w:val="00CF698C"/>
    <w:rsid w:val="00D002BC"/>
    <w:rsid w:val="00D027D9"/>
    <w:rsid w:val="00D17788"/>
    <w:rsid w:val="00D6657B"/>
    <w:rsid w:val="00D76481"/>
    <w:rsid w:val="00D776C3"/>
    <w:rsid w:val="00D848D8"/>
    <w:rsid w:val="00D87626"/>
    <w:rsid w:val="00DA2342"/>
    <w:rsid w:val="00DC04CC"/>
    <w:rsid w:val="00DC2228"/>
    <w:rsid w:val="00DC36E4"/>
    <w:rsid w:val="00DC45F4"/>
    <w:rsid w:val="00DC49B7"/>
    <w:rsid w:val="00DC5B32"/>
    <w:rsid w:val="00DD14DE"/>
    <w:rsid w:val="00DD1A75"/>
    <w:rsid w:val="00DD51BC"/>
    <w:rsid w:val="00DE2240"/>
    <w:rsid w:val="00DF181A"/>
    <w:rsid w:val="00E14247"/>
    <w:rsid w:val="00E14E2A"/>
    <w:rsid w:val="00E33076"/>
    <w:rsid w:val="00E6442C"/>
    <w:rsid w:val="00E70E81"/>
    <w:rsid w:val="00E732E5"/>
    <w:rsid w:val="00E7390A"/>
    <w:rsid w:val="00E7579B"/>
    <w:rsid w:val="00E75F98"/>
    <w:rsid w:val="00E85BC4"/>
    <w:rsid w:val="00E86BDB"/>
    <w:rsid w:val="00E87A2E"/>
    <w:rsid w:val="00E92C99"/>
    <w:rsid w:val="00E943EC"/>
    <w:rsid w:val="00EA5201"/>
    <w:rsid w:val="00EB0581"/>
    <w:rsid w:val="00ED5335"/>
    <w:rsid w:val="00ED7A10"/>
    <w:rsid w:val="00EE6A52"/>
    <w:rsid w:val="00EE717E"/>
    <w:rsid w:val="00EF2BDF"/>
    <w:rsid w:val="00EF36D6"/>
    <w:rsid w:val="00EF4DF8"/>
    <w:rsid w:val="00F23F37"/>
    <w:rsid w:val="00F4520E"/>
    <w:rsid w:val="00F464F2"/>
    <w:rsid w:val="00F57A58"/>
    <w:rsid w:val="00F7351E"/>
    <w:rsid w:val="00F767DF"/>
    <w:rsid w:val="00F7725E"/>
    <w:rsid w:val="00FC0699"/>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styleId="Revision">
    <w:name w:val="Revision"/>
    <w:hidden/>
    <w:uiPriority w:val="99"/>
    <w:semiHidden/>
    <w:rsid w:val="00541C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235945591">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636879311">
      <w:bodyDiv w:val="1"/>
      <w:marLeft w:val="0"/>
      <w:marRight w:val="0"/>
      <w:marTop w:val="0"/>
      <w:marBottom w:val="0"/>
      <w:divBdr>
        <w:top w:val="none" w:sz="0" w:space="0" w:color="auto"/>
        <w:left w:val="none" w:sz="0" w:space="0" w:color="auto"/>
        <w:bottom w:val="none" w:sz="0" w:space="0" w:color="auto"/>
        <w:right w:val="none" w:sz="0" w:space="0" w:color="auto"/>
      </w:divBdr>
    </w:div>
    <w:div w:id="655256740">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827405766">
      <w:bodyDiv w:val="1"/>
      <w:marLeft w:val="0"/>
      <w:marRight w:val="0"/>
      <w:marTop w:val="0"/>
      <w:marBottom w:val="0"/>
      <w:divBdr>
        <w:top w:val="none" w:sz="0" w:space="0" w:color="auto"/>
        <w:left w:val="none" w:sz="0" w:space="0" w:color="auto"/>
        <w:bottom w:val="none" w:sz="0" w:space="0" w:color="auto"/>
        <w:right w:val="none" w:sz="0" w:space="0" w:color="auto"/>
      </w:divBdr>
    </w:div>
    <w:div w:id="1099107142">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CPR%2fC%2f132%2fD%2f2844%2f2016&amp;Lang=en" TargetMode="External"/><Relationship Id="rId13" Type="http://schemas.openxmlformats.org/officeDocument/2006/relationships/hyperlink" Target="file:///C:\Users\Edyta\AppData\Local\Microsoft\Windows\INetCache\Content.Outlook\NF8O9HYC\A\HRC\48\60\Add.1" TargetMode="External"/><Relationship Id="rId18" Type="http://schemas.openxmlformats.org/officeDocument/2006/relationships/hyperlink" Target="https://undocs.org/A/HRC/47/35"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ndocs.org/A/HRC/47/35" TargetMode="External"/><Relationship Id="rId17" Type="http://schemas.openxmlformats.org/officeDocument/2006/relationships/hyperlink" Target="file:///C:\Users\Edyta\AppData\Local\Microsoft\Windows\INetCache\Content.Outlook\NF8O9HYC\A\HRC\48\60\Add.1" TargetMode="External"/><Relationship Id="rId2" Type="http://schemas.openxmlformats.org/officeDocument/2006/relationships/numbering" Target="numbering.xml"/><Relationship Id="rId16" Type="http://schemas.openxmlformats.org/officeDocument/2006/relationships/hyperlink" Target="https://tbinternet.ohchr.org/_layouts/15/treatybodyexternal/Download.aspx?symbolno=CED/C/ESP/OAI/1&amp;Lang=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CCPR%2fC%2f132%2fD%2f2996%2f2017&amp;Lang=en" TargetMode="External"/><Relationship Id="rId5" Type="http://schemas.openxmlformats.org/officeDocument/2006/relationships/webSettings" Target="webSettings.xml"/><Relationship Id="rId15" Type="http://schemas.openxmlformats.org/officeDocument/2006/relationships/hyperlink" Target="https://tbinternet.ohchr.org/_layouts/15/treatybodyexternal/Download.aspx?symbolno=CED/C/ESP/OAI/1&amp;Lang=En" TargetMode="External"/><Relationship Id="rId10" Type="http://schemas.openxmlformats.org/officeDocument/2006/relationships/hyperlink" Target="https://tbinternet.ohchr.org/_layouts/15/treatybodyexternal/Download.aspx?symbolno=CED/C/ESP/OAI/1&amp;Lang=En" TargetMode="External"/><Relationship Id="rId19" Type="http://schemas.openxmlformats.org/officeDocument/2006/relationships/hyperlink" Target="https://undocs.org/A/HRC/47/35" TargetMode="External"/><Relationship Id="rId4" Type="http://schemas.openxmlformats.org/officeDocument/2006/relationships/settings" Target="settings.xml"/><Relationship Id="rId9" Type="http://schemas.openxmlformats.org/officeDocument/2006/relationships/hyperlink" Target="https://www.ohchr.org/en/NewsEvents/Pages/DisplayNews.aspx?NewsID=27410&amp;LangID=E" TargetMode="External"/><Relationship Id="rId14" Type="http://schemas.openxmlformats.org/officeDocument/2006/relationships/hyperlink" Target="https://www.ohchr.org/EN/NewsEvents/Pages/DisplayNews.aspx?NewsID=27935&amp;LangID=E" TargetMode="External"/><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2598-2E0B-41FC-B3AF-5EA678799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2734</Words>
  <Characters>15584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ROE</cp:lastModifiedBy>
  <cp:revision>3</cp:revision>
  <dcterms:created xsi:type="dcterms:W3CDTF">2022-03-08T06:48:00Z</dcterms:created>
  <dcterms:modified xsi:type="dcterms:W3CDTF">2022-03-08T09:02:00Z</dcterms:modified>
</cp:coreProperties>
</file>